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2472"/>
        <w:gridCol w:w="2117"/>
        <w:gridCol w:w="4999"/>
      </w:tblGrid>
      <w:tr w:rsidR="00F4243E" w:rsidRPr="00F4243E" w:rsidTr="00F4243E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 xml:space="preserve">METHODE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 xml:space="preserve">GEBASEERD OP 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VERRICHTING EN PRINCIPE</w:t>
            </w:r>
          </w:p>
        </w:tc>
      </w:tr>
      <w:tr w:rsidR="00F4243E" w:rsidRPr="00F4243E" w:rsidTr="00F4243E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8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WI_11_Arbeidsveiligheid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Boek V, 'Omgevingsfactoren en fysische agentia' , Titel 2 Lawaai van de codex over het welzijn op het werk(voorheen KB van 16/01/2006, gepubliceerd in het BS d.d. 15/02/2006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3E" w:rsidRPr="00F4243E" w:rsidRDefault="00F4243E" w:rsidP="00F4243E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F4243E">
              <w:rPr>
                <w:rFonts w:ascii="Arial" w:eastAsia="Times New Roman" w:hAnsi="Arial" w:cs="Arial"/>
                <w:lang w:eastAsia="nl-BE"/>
              </w:rPr>
              <w:t>Het opmeten en toetsen van arbeidslawaai aan de geldende actie- en grenswaarden</w:t>
            </w:r>
          </w:p>
        </w:tc>
      </w:tr>
    </w:tbl>
    <w:p w:rsidR="00444FE1" w:rsidRDefault="00444FE1">
      <w:bookmarkStart w:id="0" w:name="_GoBack"/>
      <w:bookmarkEnd w:id="0"/>
    </w:p>
    <w:sectPr w:rsidR="00444FE1" w:rsidSect="00F42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3E"/>
    <w:rsid w:val="00444FE1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A1B9-FA3F-49D1-ABD5-E7F1994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2019-09-18T12:54:00Z</dcterms:created>
  <dcterms:modified xsi:type="dcterms:W3CDTF">2019-09-18T12:55:00Z</dcterms:modified>
</cp:coreProperties>
</file>