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44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734"/>
        <w:gridCol w:w="5529"/>
        <w:gridCol w:w="1242"/>
        <w:gridCol w:w="1701"/>
        <w:gridCol w:w="1842"/>
        <w:gridCol w:w="1842"/>
      </w:tblGrid>
      <w:tr w:rsidR="00466F04" w:rsidTr="009B37AB">
        <w:trPr>
          <w:trHeight w:val="244"/>
        </w:trPr>
        <w:tc>
          <w:tcPr>
            <w:tcW w:w="534" w:type="dxa"/>
            <w:vMerge w:val="restart"/>
            <w:tcBorders>
              <w:top w:val="nil"/>
              <w:left w:val="nil"/>
            </w:tcBorders>
          </w:tcPr>
          <w:p w:rsidR="00466F04" w:rsidRDefault="00466F04">
            <w:pPr>
              <w:rPr>
                <w:sz w:val="20"/>
                <w:szCs w:val="20"/>
              </w:rPr>
            </w:pPr>
          </w:p>
        </w:tc>
        <w:tc>
          <w:tcPr>
            <w:tcW w:w="1734" w:type="dxa"/>
            <w:vMerge w:val="restart"/>
            <w:shd w:val="clear" w:color="auto" w:fill="B8CCE4"/>
            <w:vAlign w:val="center"/>
          </w:tcPr>
          <w:p w:rsidR="00466F04" w:rsidRDefault="009B37AB">
            <w:pPr>
              <w:jc w:val="center"/>
              <w:rPr>
                <w:sz w:val="20"/>
                <w:szCs w:val="20"/>
              </w:rPr>
            </w:pPr>
            <w:r>
              <w:rPr>
                <w:sz w:val="20"/>
                <w:szCs w:val="20"/>
              </w:rPr>
              <w:t>Benaming van de actie</w:t>
            </w:r>
          </w:p>
        </w:tc>
        <w:tc>
          <w:tcPr>
            <w:tcW w:w="5529" w:type="dxa"/>
            <w:vMerge w:val="restart"/>
            <w:shd w:val="clear" w:color="auto" w:fill="B8CCE4"/>
            <w:vAlign w:val="center"/>
          </w:tcPr>
          <w:p w:rsidR="00466F04" w:rsidRDefault="009B37AB">
            <w:pPr>
              <w:jc w:val="center"/>
              <w:rPr>
                <w:sz w:val="20"/>
                <w:szCs w:val="20"/>
              </w:rPr>
            </w:pPr>
            <w:r>
              <w:rPr>
                <w:sz w:val="20"/>
                <w:szCs w:val="20"/>
              </w:rPr>
              <w:t>Na te streven doelstellingen</w:t>
            </w:r>
          </w:p>
        </w:tc>
        <w:tc>
          <w:tcPr>
            <w:tcW w:w="1242" w:type="dxa"/>
            <w:vMerge w:val="restart"/>
            <w:shd w:val="clear" w:color="auto" w:fill="B8CCE4"/>
            <w:vAlign w:val="center"/>
          </w:tcPr>
          <w:p w:rsidR="00466F04" w:rsidRDefault="009B37AB">
            <w:pPr>
              <w:jc w:val="center"/>
              <w:rPr>
                <w:sz w:val="20"/>
                <w:szCs w:val="20"/>
              </w:rPr>
            </w:pPr>
            <w:bookmarkStart w:id="0" w:name="_gjdgxs" w:colFirst="0" w:colLast="0"/>
            <w:bookmarkEnd w:id="0"/>
            <w:r>
              <w:rPr>
                <w:sz w:val="20"/>
                <w:szCs w:val="20"/>
              </w:rPr>
              <w:t>Samenwerking(en) met… (andere organisaties)</w:t>
            </w:r>
          </w:p>
        </w:tc>
        <w:tc>
          <w:tcPr>
            <w:tcW w:w="1701" w:type="dxa"/>
            <w:vMerge w:val="restart"/>
            <w:shd w:val="clear" w:color="auto" w:fill="B8CCE4"/>
            <w:vAlign w:val="center"/>
          </w:tcPr>
          <w:p w:rsidR="00466F04" w:rsidRDefault="009B37AB">
            <w:pPr>
              <w:jc w:val="center"/>
              <w:rPr>
                <w:sz w:val="20"/>
                <w:szCs w:val="20"/>
              </w:rPr>
            </w:pPr>
            <w:r>
              <w:rPr>
                <w:sz w:val="20"/>
                <w:szCs w:val="20"/>
              </w:rPr>
              <w:t>Doelgroep</w:t>
            </w:r>
          </w:p>
        </w:tc>
        <w:tc>
          <w:tcPr>
            <w:tcW w:w="1842" w:type="dxa"/>
            <w:vMerge w:val="restart"/>
            <w:shd w:val="clear" w:color="auto" w:fill="B8CCE4"/>
            <w:vAlign w:val="center"/>
          </w:tcPr>
          <w:p w:rsidR="00466F04" w:rsidRDefault="009B37AB">
            <w:pPr>
              <w:jc w:val="center"/>
              <w:rPr>
                <w:sz w:val="20"/>
                <w:szCs w:val="20"/>
              </w:rPr>
            </w:pPr>
            <w:r>
              <w:rPr>
                <w:sz w:val="20"/>
                <w:szCs w:val="20"/>
              </w:rPr>
              <w:t>Beoogd aantal deelnemers</w:t>
            </w:r>
          </w:p>
        </w:tc>
        <w:tc>
          <w:tcPr>
            <w:tcW w:w="1842" w:type="dxa"/>
            <w:vMerge w:val="restart"/>
            <w:shd w:val="clear" w:color="auto" w:fill="B8CCE4"/>
          </w:tcPr>
          <w:p w:rsidR="00466F04" w:rsidRDefault="009B37AB">
            <w:pPr>
              <w:jc w:val="center"/>
              <w:rPr>
                <w:sz w:val="20"/>
                <w:szCs w:val="20"/>
              </w:rPr>
            </w:pPr>
            <w:r>
              <w:rPr>
                <w:sz w:val="20"/>
                <w:szCs w:val="20"/>
              </w:rPr>
              <w:t xml:space="preserve">Middelen bijkomend project </w:t>
            </w:r>
          </w:p>
        </w:tc>
      </w:tr>
      <w:tr w:rsidR="00466F04" w:rsidTr="009B37AB">
        <w:trPr>
          <w:trHeight w:val="338"/>
        </w:trPr>
        <w:tc>
          <w:tcPr>
            <w:tcW w:w="534" w:type="dxa"/>
            <w:vMerge/>
            <w:tcBorders>
              <w:top w:val="nil"/>
              <w:left w:val="nil"/>
            </w:tcBorders>
          </w:tcPr>
          <w:p w:rsidR="00466F04" w:rsidRDefault="00466F04">
            <w:pPr>
              <w:widowControl w:val="0"/>
              <w:pBdr>
                <w:top w:val="nil"/>
                <w:left w:val="nil"/>
                <w:bottom w:val="nil"/>
                <w:right w:val="nil"/>
                <w:between w:val="nil"/>
              </w:pBdr>
              <w:spacing w:line="276" w:lineRule="auto"/>
              <w:rPr>
                <w:sz w:val="20"/>
                <w:szCs w:val="20"/>
              </w:rPr>
            </w:pPr>
          </w:p>
        </w:tc>
        <w:tc>
          <w:tcPr>
            <w:tcW w:w="1734" w:type="dxa"/>
            <w:vMerge/>
            <w:shd w:val="clear" w:color="auto" w:fill="B8CCE4"/>
            <w:vAlign w:val="center"/>
          </w:tcPr>
          <w:p w:rsidR="00466F04" w:rsidRDefault="00466F04">
            <w:pPr>
              <w:widowControl w:val="0"/>
              <w:pBdr>
                <w:top w:val="nil"/>
                <w:left w:val="nil"/>
                <w:bottom w:val="nil"/>
                <w:right w:val="nil"/>
                <w:between w:val="nil"/>
              </w:pBdr>
              <w:spacing w:line="276" w:lineRule="auto"/>
              <w:rPr>
                <w:sz w:val="20"/>
                <w:szCs w:val="20"/>
              </w:rPr>
            </w:pPr>
          </w:p>
        </w:tc>
        <w:tc>
          <w:tcPr>
            <w:tcW w:w="5529" w:type="dxa"/>
            <w:vMerge/>
            <w:shd w:val="clear" w:color="auto" w:fill="B8CCE4"/>
            <w:vAlign w:val="center"/>
          </w:tcPr>
          <w:p w:rsidR="00466F04" w:rsidRDefault="00466F04">
            <w:pPr>
              <w:widowControl w:val="0"/>
              <w:pBdr>
                <w:top w:val="nil"/>
                <w:left w:val="nil"/>
                <w:bottom w:val="nil"/>
                <w:right w:val="nil"/>
                <w:between w:val="nil"/>
              </w:pBdr>
              <w:spacing w:line="276" w:lineRule="auto"/>
              <w:rPr>
                <w:sz w:val="20"/>
                <w:szCs w:val="20"/>
              </w:rPr>
            </w:pPr>
          </w:p>
        </w:tc>
        <w:tc>
          <w:tcPr>
            <w:tcW w:w="1242" w:type="dxa"/>
            <w:vMerge/>
            <w:shd w:val="clear" w:color="auto" w:fill="B8CCE4"/>
            <w:vAlign w:val="center"/>
          </w:tcPr>
          <w:p w:rsidR="00466F04" w:rsidRDefault="00466F04">
            <w:pPr>
              <w:widowControl w:val="0"/>
              <w:pBdr>
                <w:top w:val="nil"/>
                <w:left w:val="nil"/>
                <w:bottom w:val="nil"/>
                <w:right w:val="nil"/>
                <w:between w:val="nil"/>
              </w:pBdr>
              <w:spacing w:line="276" w:lineRule="auto"/>
              <w:rPr>
                <w:sz w:val="20"/>
                <w:szCs w:val="20"/>
              </w:rPr>
            </w:pPr>
          </w:p>
        </w:tc>
        <w:tc>
          <w:tcPr>
            <w:tcW w:w="1701" w:type="dxa"/>
            <w:vMerge/>
            <w:shd w:val="clear" w:color="auto" w:fill="B8CCE4"/>
            <w:vAlign w:val="center"/>
          </w:tcPr>
          <w:p w:rsidR="00466F04" w:rsidRDefault="00466F04">
            <w:pPr>
              <w:widowControl w:val="0"/>
              <w:pBdr>
                <w:top w:val="nil"/>
                <w:left w:val="nil"/>
                <w:bottom w:val="nil"/>
                <w:right w:val="nil"/>
                <w:between w:val="nil"/>
              </w:pBdr>
              <w:spacing w:line="276" w:lineRule="auto"/>
              <w:rPr>
                <w:sz w:val="20"/>
                <w:szCs w:val="20"/>
              </w:rPr>
            </w:pPr>
          </w:p>
        </w:tc>
        <w:tc>
          <w:tcPr>
            <w:tcW w:w="1842" w:type="dxa"/>
            <w:vMerge/>
            <w:shd w:val="clear" w:color="auto" w:fill="B8CCE4"/>
            <w:vAlign w:val="center"/>
          </w:tcPr>
          <w:p w:rsidR="00466F04" w:rsidRDefault="00466F04">
            <w:pPr>
              <w:widowControl w:val="0"/>
              <w:pBdr>
                <w:top w:val="nil"/>
                <w:left w:val="nil"/>
                <w:bottom w:val="nil"/>
                <w:right w:val="nil"/>
                <w:between w:val="nil"/>
              </w:pBdr>
              <w:spacing w:line="276" w:lineRule="auto"/>
              <w:rPr>
                <w:sz w:val="20"/>
                <w:szCs w:val="20"/>
              </w:rPr>
            </w:pPr>
          </w:p>
        </w:tc>
        <w:tc>
          <w:tcPr>
            <w:tcW w:w="1842" w:type="dxa"/>
            <w:vMerge/>
            <w:shd w:val="clear" w:color="auto" w:fill="B8CCE4"/>
          </w:tcPr>
          <w:p w:rsidR="00466F04" w:rsidRDefault="00466F04">
            <w:pPr>
              <w:widowControl w:val="0"/>
              <w:pBdr>
                <w:top w:val="nil"/>
                <w:left w:val="nil"/>
                <w:bottom w:val="nil"/>
                <w:right w:val="nil"/>
                <w:between w:val="nil"/>
              </w:pBdr>
              <w:spacing w:line="276" w:lineRule="auto"/>
              <w:rPr>
                <w:sz w:val="20"/>
                <w:szCs w:val="20"/>
              </w:rPr>
            </w:pPr>
          </w:p>
        </w:tc>
      </w:tr>
      <w:tr w:rsidR="00466F04" w:rsidRPr="00A42C35" w:rsidTr="009B37AB">
        <w:trPr>
          <w:trHeight w:val="593"/>
        </w:trPr>
        <w:tc>
          <w:tcPr>
            <w:tcW w:w="534" w:type="dxa"/>
          </w:tcPr>
          <w:p w:rsidR="00466F04" w:rsidRDefault="009B37AB">
            <w:pPr>
              <w:rPr>
                <w:sz w:val="20"/>
                <w:szCs w:val="20"/>
              </w:rPr>
            </w:pPr>
            <w:r>
              <w:rPr>
                <w:sz w:val="20"/>
                <w:szCs w:val="20"/>
              </w:rPr>
              <w:t>1</w:t>
            </w:r>
          </w:p>
        </w:tc>
        <w:tc>
          <w:tcPr>
            <w:tcW w:w="1734" w:type="dxa"/>
          </w:tcPr>
          <w:p w:rsidR="00466F04" w:rsidRDefault="009B37AB">
            <w:pPr>
              <w:rPr>
                <w:sz w:val="20"/>
                <w:szCs w:val="20"/>
              </w:rPr>
            </w:pPr>
            <w:r>
              <w:rPr>
                <w:sz w:val="20"/>
                <w:szCs w:val="20"/>
              </w:rPr>
              <w:t>Mediastages</w:t>
            </w:r>
          </w:p>
        </w:tc>
        <w:tc>
          <w:tcPr>
            <w:tcW w:w="5529" w:type="dxa"/>
          </w:tcPr>
          <w:p w:rsidR="00466F04" w:rsidRDefault="009B37AB">
            <w:pPr>
              <w:rPr>
                <w:sz w:val="20"/>
                <w:szCs w:val="20"/>
              </w:rPr>
            </w:pPr>
            <w:r>
              <w:rPr>
                <w:sz w:val="20"/>
                <w:szCs w:val="20"/>
              </w:rPr>
              <w:t xml:space="preserve">Brug slaan tussen de uitstroom uit het hoger onderwijs en de professionele audiovisuele en digitale sector. </w:t>
            </w:r>
          </w:p>
          <w:p w:rsidR="00466F04" w:rsidRDefault="00466F04">
            <w:pPr>
              <w:rPr>
                <w:sz w:val="20"/>
                <w:szCs w:val="20"/>
              </w:rPr>
            </w:pPr>
          </w:p>
          <w:p w:rsidR="00466F04" w:rsidRDefault="009B37AB">
            <w:pPr>
              <w:rPr>
                <w:sz w:val="20"/>
                <w:szCs w:val="20"/>
              </w:rPr>
            </w:pPr>
            <w:r>
              <w:rPr>
                <w:sz w:val="20"/>
                <w:szCs w:val="20"/>
              </w:rPr>
              <w:t xml:space="preserve">Starterskansen bieden aan jongeren d.m.v. persoonlijke begeleiding en het aanbieden van professionele stages binnen een wettelijk kader, waarbij </w:t>
            </w:r>
            <w:proofErr w:type="spellStart"/>
            <w:r>
              <w:rPr>
                <w:sz w:val="20"/>
                <w:szCs w:val="20"/>
              </w:rPr>
              <w:t>mediarte</w:t>
            </w:r>
            <w:proofErr w:type="spellEnd"/>
            <w:r>
              <w:rPr>
                <w:sz w:val="20"/>
                <w:szCs w:val="20"/>
              </w:rPr>
              <w:t xml:space="preserve"> instaat voor de begeleiding van de stagiair en waakt over de inhoud en kwaliteit van de stage door gebruik te maken van een Stagedraaiboek. </w:t>
            </w:r>
            <w:proofErr w:type="spellStart"/>
            <w:r>
              <w:rPr>
                <w:sz w:val="20"/>
                <w:szCs w:val="20"/>
              </w:rPr>
              <w:t>mediarte</w:t>
            </w:r>
            <w:proofErr w:type="spellEnd"/>
            <w:r>
              <w:rPr>
                <w:sz w:val="20"/>
                <w:szCs w:val="20"/>
              </w:rPr>
              <w:t xml:space="preserve"> maakt de koppeling tussen de persoonlijke doelstellingen van de stagiair en het aanbod van de stagegever, dit gebeurt mede op basis van de resultaten uit de Competentiescan. De focus ligt op optimale begeleiding van deze stage- en werkgevers ten gunste van de jongeren.</w:t>
            </w:r>
          </w:p>
          <w:p w:rsidR="00466F04" w:rsidRDefault="00466F04">
            <w:pPr>
              <w:rPr>
                <w:sz w:val="20"/>
                <w:szCs w:val="20"/>
              </w:rPr>
            </w:pPr>
          </w:p>
          <w:p w:rsidR="00466F04" w:rsidRDefault="009B37AB">
            <w:pPr>
              <w:rPr>
                <w:sz w:val="20"/>
                <w:szCs w:val="20"/>
              </w:rPr>
            </w:pPr>
            <w:r>
              <w:rPr>
                <w:sz w:val="20"/>
                <w:szCs w:val="20"/>
              </w:rPr>
              <w:t xml:space="preserve">Om de doelgroep (zowel -26 jarigen als stagegevers) te sensibiliseren over werkplekleren zal </w:t>
            </w:r>
            <w:proofErr w:type="spellStart"/>
            <w:r>
              <w:rPr>
                <w:sz w:val="20"/>
                <w:szCs w:val="20"/>
              </w:rPr>
              <w:t>mediarte</w:t>
            </w:r>
            <w:proofErr w:type="spellEnd"/>
            <w:r>
              <w:rPr>
                <w:sz w:val="20"/>
                <w:szCs w:val="20"/>
              </w:rPr>
              <w:t xml:space="preserve"> zijn 360° communicatie-aanpak hiervoor aanwenden. De misvattingen over (1) legale stages, illegale vrijwillige stages en (2) de voordelen van werkplekleren vragen om in het eerste geval uit de wereld geholpen te worden en in het tweede geval ondersteund en gestimuleerd te worden.</w:t>
            </w:r>
          </w:p>
          <w:p w:rsidR="00466F04" w:rsidRDefault="00466F04">
            <w:pPr>
              <w:rPr>
                <w:sz w:val="20"/>
                <w:szCs w:val="20"/>
              </w:rPr>
            </w:pPr>
          </w:p>
          <w:p w:rsidR="00466F04" w:rsidRDefault="009B37AB">
            <w:pPr>
              <w:rPr>
                <w:sz w:val="20"/>
                <w:szCs w:val="20"/>
              </w:rPr>
            </w:pPr>
            <w:r>
              <w:rPr>
                <w:sz w:val="20"/>
                <w:szCs w:val="20"/>
              </w:rPr>
              <w:t xml:space="preserve">Stagiair en stageplaats kunnen gebruik maken van een Startersgids, online </w:t>
            </w:r>
            <w:proofErr w:type="spellStart"/>
            <w:r>
              <w:rPr>
                <w:sz w:val="20"/>
                <w:szCs w:val="20"/>
              </w:rPr>
              <w:t>Toolbox</w:t>
            </w:r>
            <w:proofErr w:type="spellEnd"/>
            <w:r>
              <w:rPr>
                <w:sz w:val="20"/>
                <w:szCs w:val="20"/>
              </w:rPr>
              <w:t xml:space="preserve">, Competentiescan en Talentpagina’s. mediastagiairs kunnen gratis deelnemen aan cv-screenings en andere activiteiten die door </w:t>
            </w:r>
            <w:proofErr w:type="spellStart"/>
            <w:r>
              <w:rPr>
                <w:sz w:val="20"/>
                <w:szCs w:val="20"/>
              </w:rPr>
              <w:t>mediarte</w:t>
            </w:r>
            <w:proofErr w:type="spellEnd"/>
            <w:r>
              <w:rPr>
                <w:sz w:val="20"/>
                <w:szCs w:val="20"/>
              </w:rPr>
              <w:t xml:space="preserve"> georganiseerd worden in het kader van loopbaanbegeleiding.</w:t>
            </w:r>
          </w:p>
        </w:tc>
        <w:tc>
          <w:tcPr>
            <w:tcW w:w="1242" w:type="dxa"/>
          </w:tcPr>
          <w:p w:rsidR="00466F04" w:rsidRDefault="009B37AB">
            <w:pPr>
              <w:rPr>
                <w:sz w:val="20"/>
                <w:szCs w:val="20"/>
              </w:rPr>
            </w:pPr>
            <w:proofErr w:type="spellStart"/>
            <w:r>
              <w:rPr>
                <w:sz w:val="20"/>
                <w:szCs w:val="20"/>
              </w:rPr>
              <w:t>vdab</w:t>
            </w:r>
            <w:proofErr w:type="spellEnd"/>
            <w:r>
              <w:rPr>
                <w:sz w:val="20"/>
                <w:szCs w:val="20"/>
              </w:rPr>
              <w:t xml:space="preserve"> - </w:t>
            </w:r>
            <w:proofErr w:type="spellStart"/>
            <w:r>
              <w:rPr>
                <w:sz w:val="20"/>
                <w:szCs w:val="20"/>
              </w:rPr>
              <w:t>actiris</w:t>
            </w:r>
            <w:proofErr w:type="spellEnd"/>
          </w:p>
        </w:tc>
        <w:tc>
          <w:tcPr>
            <w:tcW w:w="1701" w:type="dxa"/>
          </w:tcPr>
          <w:p w:rsidR="00466F04" w:rsidRDefault="009B37AB">
            <w:pPr>
              <w:rPr>
                <w:sz w:val="20"/>
                <w:szCs w:val="20"/>
              </w:rPr>
            </w:pPr>
            <w:r>
              <w:rPr>
                <w:sz w:val="20"/>
                <w:szCs w:val="20"/>
              </w:rPr>
              <w:t>Niet-uitkerings-gerechtigde werklozen jonger dan 26 jaar.</w:t>
            </w:r>
          </w:p>
        </w:tc>
        <w:tc>
          <w:tcPr>
            <w:tcW w:w="1842" w:type="dxa"/>
          </w:tcPr>
          <w:p w:rsidR="00466F04" w:rsidRDefault="009B37AB">
            <w:pPr>
              <w:rPr>
                <w:sz w:val="20"/>
                <w:szCs w:val="20"/>
              </w:rPr>
            </w:pPr>
            <w:r>
              <w:rPr>
                <w:sz w:val="20"/>
                <w:szCs w:val="20"/>
              </w:rPr>
              <w:t>niet van toepassing</w:t>
            </w:r>
          </w:p>
        </w:tc>
        <w:tc>
          <w:tcPr>
            <w:tcW w:w="1842" w:type="dxa"/>
          </w:tcPr>
          <w:p w:rsidR="00466F04" w:rsidRDefault="00466F04">
            <w:pPr>
              <w:rPr>
                <w:sz w:val="20"/>
                <w:szCs w:val="20"/>
              </w:rPr>
            </w:pPr>
            <w:bookmarkStart w:id="1" w:name="_GoBack"/>
            <w:bookmarkEnd w:id="1"/>
          </w:p>
          <w:p w:rsidR="00466F04" w:rsidRDefault="009B37AB">
            <w:pPr>
              <w:rPr>
                <w:i/>
                <w:sz w:val="20"/>
                <w:szCs w:val="20"/>
              </w:rPr>
            </w:pPr>
            <w:r>
              <w:rPr>
                <w:i/>
                <w:sz w:val="20"/>
                <w:szCs w:val="20"/>
              </w:rPr>
              <w:t>Personeelskost: 140.000 euro</w:t>
            </w:r>
          </w:p>
          <w:p w:rsidR="00466F04" w:rsidRDefault="009B37AB">
            <w:pPr>
              <w:rPr>
                <w:i/>
                <w:sz w:val="20"/>
                <w:szCs w:val="20"/>
              </w:rPr>
            </w:pPr>
            <w:r>
              <w:rPr>
                <w:i/>
                <w:sz w:val="20"/>
                <w:szCs w:val="20"/>
              </w:rPr>
              <w:t>Overheadkost: 42.000 euro</w:t>
            </w:r>
          </w:p>
          <w:p w:rsidR="00466F04" w:rsidRDefault="009B37AB">
            <w:pPr>
              <w:rPr>
                <w:i/>
                <w:sz w:val="20"/>
                <w:szCs w:val="20"/>
              </w:rPr>
            </w:pPr>
            <w:r>
              <w:rPr>
                <w:i/>
                <w:sz w:val="20"/>
                <w:szCs w:val="20"/>
              </w:rPr>
              <w:t>Projectkost:</w:t>
            </w:r>
          </w:p>
          <w:p w:rsidR="00466F04" w:rsidRPr="00A42C35" w:rsidRDefault="009B37AB">
            <w:pPr>
              <w:rPr>
                <w:i/>
                <w:sz w:val="20"/>
                <w:szCs w:val="20"/>
                <w:lang w:val="en-US"/>
              </w:rPr>
            </w:pPr>
            <w:r w:rsidRPr="00A42C35">
              <w:rPr>
                <w:i/>
                <w:sz w:val="20"/>
                <w:szCs w:val="20"/>
                <w:lang w:val="en-US"/>
              </w:rPr>
              <w:t>25.000 euro</w:t>
            </w:r>
          </w:p>
          <w:p w:rsidR="00466F04" w:rsidRPr="00A42C35" w:rsidRDefault="009B37AB">
            <w:pPr>
              <w:rPr>
                <w:i/>
                <w:sz w:val="20"/>
                <w:szCs w:val="20"/>
                <w:lang w:val="en-US"/>
              </w:rPr>
            </w:pPr>
            <w:r w:rsidRPr="00A42C35">
              <w:rPr>
                <w:i/>
                <w:sz w:val="20"/>
                <w:szCs w:val="20"/>
                <w:lang w:val="en-US"/>
              </w:rPr>
              <w:t>Self assessment-tool &amp; Talent-pagina: 17.500 euro</w:t>
            </w:r>
          </w:p>
          <w:p w:rsidR="00466F04" w:rsidRPr="00A42C35" w:rsidRDefault="00466F04">
            <w:pPr>
              <w:rPr>
                <w:sz w:val="20"/>
                <w:szCs w:val="20"/>
                <w:lang w:val="en-US"/>
              </w:rPr>
            </w:pPr>
          </w:p>
          <w:p w:rsidR="00466F04" w:rsidRPr="00A42C35" w:rsidRDefault="00466F04">
            <w:pPr>
              <w:rPr>
                <w:sz w:val="20"/>
                <w:szCs w:val="20"/>
                <w:lang w:val="en-US"/>
              </w:rPr>
            </w:pPr>
          </w:p>
        </w:tc>
      </w:tr>
      <w:tr w:rsidR="00466F04">
        <w:trPr>
          <w:trHeight w:val="707"/>
        </w:trPr>
        <w:tc>
          <w:tcPr>
            <w:tcW w:w="10740" w:type="dxa"/>
            <w:gridSpan w:val="5"/>
            <w:tcBorders>
              <w:top w:val="nil"/>
              <w:left w:val="nil"/>
              <w:bottom w:val="nil"/>
            </w:tcBorders>
          </w:tcPr>
          <w:p w:rsidR="00466F04" w:rsidRDefault="009B37AB">
            <w:pPr>
              <w:jc w:val="right"/>
              <w:rPr>
                <w:sz w:val="28"/>
                <w:szCs w:val="28"/>
              </w:rPr>
            </w:pPr>
            <w:r>
              <w:rPr>
                <w:sz w:val="28"/>
                <w:szCs w:val="28"/>
              </w:rPr>
              <w:t>Totaal</w:t>
            </w:r>
          </w:p>
        </w:tc>
        <w:tc>
          <w:tcPr>
            <w:tcW w:w="1842" w:type="dxa"/>
          </w:tcPr>
          <w:p w:rsidR="00466F04" w:rsidRDefault="009B37AB">
            <w:pPr>
              <w:rPr>
                <w:sz w:val="20"/>
                <w:szCs w:val="20"/>
              </w:rPr>
            </w:pPr>
            <w:r>
              <w:rPr>
                <w:sz w:val="20"/>
                <w:szCs w:val="20"/>
              </w:rPr>
              <w:t>-</w:t>
            </w:r>
          </w:p>
        </w:tc>
        <w:tc>
          <w:tcPr>
            <w:tcW w:w="1842" w:type="dxa"/>
          </w:tcPr>
          <w:p w:rsidR="00466F04" w:rsidRDefault="009B37AB">
            <w:pPr>
              <w:rPr>
                <w:sz w:val="20"/>
                <w:szCs w:val="20"/>
              </w:rPr>
            </w:pPr>
            <w:r>
              <w:rPr>
                <w:sz w:val="20"/>
                <w:szCs w:val="20"/>
              </w:rPr>
              <w:t>€ 224.048,90</w:t>
            </w:r>
          </w:p>
        </w:tc>
      </w:tr>
    </w:tbl>
    <w:p w:rsidR="00466F04" w:rsidRDefault="00466F04">
      <w:pPr>
        <w:rPr>
          <w:sz w:val="20"/>
          <w:szCs w:val="20"/>
          <w:u w:val="single"/>
        </w:rPr>
      </w:pPr>
    </w:p>
    <w:sectPr w:rsidR="00466F04">
      <w:headerReference w:type="default" r:id="rId6"/>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7AB" w:rsidRDefault="009B37AB" w:rsidP="009B37AB">
      <w:pPr>
        <w:spacing w:after="0" w:line="240" w:lineRule="auto"/>
      </w:pPr>
      <w:r>
        <w:separator/>
      </w:r>
    </w:p>
  </w:endnote>
  <w:endnote w:type="continuationSeparator" w:id="0">
    <w:p w:rsidR="009B37AB" w:rsidRDefault="009B37AB" w:rsidP="009B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7AB" w:rsidRDefault="009B37AB" w:rsidP="009B37AB">
      <w:pPr>
        <w:spacing w:after="0" w:line="240" w:lineRule="auto"/>
      </w:pPr>
      <w:r>
        <w:separator/>
      </w:r>
    </w:p>
  </w:footnote>
  <w:footnote w:type="continuationSeparator" w:id="0">
    <w:p w:rsidR="009B37AB" w:rsidRDefault="009B37AB" w:rsidP="009B3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AB" w:rsidRDefault="009B37AB">
    <w:pPr>
      <w:pStyle w:val="Koptekst"/>
    </w:pPr>
    <w:r>
      <w:rPr>
        <w:sz w:val="20"/>
        <w:szCs w:val="20"/>
        <w:u w:val="single"/>
      </w:rPr>
      <w:t>PC 227  : Bijkomend project voor jongeren 2020-2021</w:t>
    </w:r>
  </w:p>
  <w:p w:rsidR="009B37AB" w:rsidRDefault="009B37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04"/>
    <w:rsid w:val="00466F04"/>
    <w:rsid w:val="009B37AB"/>
    <w:rsid w:val="00A42C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D618-57FB-4B98-9116-98D8E5A3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9B37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37AB"/>
  </w:style>
  <w:style w:type="paragraph" w:styleId="Voettekst">
    <w:name w:val="footer"/>
    <w:basedOn w:val="Standaard"/>
    <w:link w:val="VoettekstChar"/>
    <w:uiPriority w:val="99"/>
    <w:unhideWhenUsed/>
    <w:rsid w:val="009B37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Frederik Scheerlinck (FOD Werkgelegenheid - SPF Emploi)</cp:lastModifiedBy>
  <cp:revision>3</cp:revision>
  <dcterms:created xsi:type="dcterms:W3CDTF">2020-03-04T09:23:00Z</dcterms:created>
  <dcterms:modified xsi:type="dcterms:W3CDTF">2020-03-04T09:38:00Z</dcterms:modified>
</cp:coreProperties>
</file>