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4219"/>
        <w:gridCol w:w="2268"/>
        <w:gridCol w:w="1701"/>
        <w:gridCol w:w="1842"/>
        <w:gridCol w:w="1842"/>
      </w:tblGrid>
      <w:tr w:rsidR="003442CB" w:rsidRPr="005F73F4" w:rsidTr="00B12D41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4219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 xml:space="preserve">Middelen bijkomend project </w:t>
            </w:r>
          </w:p>
        </w:tc>
      </w:tr>
      <w:tr w:rsidR="003442CB" w:rsidRPr="005F73F4" w:rsidTr="00B12D41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2018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4219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</w:tcPr>
          <w:p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</w:tr>
      <w:tr w:rsidR="003442CB" w:rsidRPr="005F73F4" w:rsidTr="00B12D41">
        <w:trPr>
          <w:trHeight w:val="593"/>
        </w:trPr>
        <w:tc>
          <w:tcPr>
            <w:tcW w:w="534" w:type="dxa"/>
          </w:tcPr>
          <w:p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8" w:type="dxa"/>
          </w:tcPr>
          <w:p w:rsidR="003442CB" w:rsidRPr="005F73F4" w:rsidRDefault="00DD458C" w:rsidP="00F15722">
            <w:pPr>
              <w:rPr>
                <w:sz w:val="20"/>
              </w:rPr>
            </w:pPr>
            <w:r>
              <w:rPr>
                <w:sz w:val="20"/>
              </w:rPr>
              <w:t>Sectorale wedstrijden, beurzen en andere initiatieven om opleiding en tewerkstelling binnen de sector kenbaar te maken en te promoten</w:t>
            </w:r>
          </w:p>
        </w:tc>
        <w:tc>
          <w:tcPr>
            <w:tcW w:w="4219" w:type="dxa"/>
          </w:tcPr>
          <w:p w:rsidR="003442CB" w:rsidRPr="005F73F4" w:rsidRDefault="00D3600E" w:rsidP="00F15722">
            <w:pPr>
              <w:rPr>
                <w:sz w:val="20"/>
              </w:rPr>
            </w:pPr>
            <w:r>
              <w:rPr>
                <w:sz w:val="20"/>
              </w:rPr>
              <w:t>Jongeren motiveren om hun kans te grijpen op opleiding naar en tewerkstelling binnen de sector. Door de krapte op de arbeidsmarkt z</w:t>
            </w:r>
            <w:r w:rsidR="0060144D">
              <w:rPr>
                <w:sz w:val="20"/>
              </w:rPr>
              <w:t>ijn er binnen de sector</w:t>
            </w:r>
            <w:r>
              <w:rPr>
                <w:sz w:val="20"/>
              </w:rPr>
              <w:t xml:space="preserve"> mooie kansen om hun loopbaan aan te vangen, zeker ook voor risicogroepen.</w:t>
            </w:r>
          </w:p>
        </w:tc>
        <w:tc>
          <w:tcPr>
            <w:tcW w:w="2268" w:type="dxa"/>
          </w:tcPr>
          <w:p w:rsidR="003442CB" w:rsidRDefault="00D3600E" w:rsidP="00F15722">
            <w:pPr>
              <w:rPr>
                <w:sz w:val="20"/>
              </w:rPr>
            </w:pPr>
            <w:r>
              <w:rPr>
                <w:sz w:val="20"/>
              </w:rPr>
              <w:t>Beroepenhuis</w:t>
            </w:r>
          </w:p>
          <w:p w:rsidR="00D3600E" w:rsidRDefault="00D3600E" w:rsidP="00F157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Epicuris</w:t>
            </w:r>
            <w:proofErr w:type="spellEnd"/>
          </w:p>
          <w:p w:rsidR="00D3600E" w:rsidRPr="005F73F4" w:rsidRDefault="00D3600E" w:rsidP="00F15722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3442CB" w:rsidRPr="005F73F4" w:rsidRDefault="00DD458C" w:rsidP="00F15722">
            <w:pPr>
              <w:rPr>
                <w:sz w:val="20"/>
              </w:rPr>
            </w:pPr>
            <w:r>
              <w:rPr>
                <w:sz w:val="20"/>
              </w:rPr>
              <w:t>Leerlingen D(BSO)/TSO</w:t>
            </w:r>
          </w:p>
        </w:tc>
        <w:tc>
          <w:tcPr>
            <w:tcW w:w="1842" w:type="dxa"/>
          </w:tcPr>
          <w:p w:rsidR="003442CB" w:rsidRPr="005F73F4" w:rsidRDefault="00DD458C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12D41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</w:p>
        </w:tc>
        <w:tc>
          <w:tcPr>
            <w:tcW w:w="1842" w:type="dxa"/>
          </w:tcPr>
          <w:p w:rsidR="003442CB" w:rsidRPr="005F73F4" w:rsidRDefault="00B12D41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60144D">
              <w:rPr>
                <w:sz w:val="20"/>
              </w:rPr>
              <w:t>200</w:t>
            </w:r>
            <w:r>
              <w:rPr>
                <w:sz w:val="20"/>
              </w:rPr>
              <w:t>.</w:t>
            </w:r>
            <w:r w:rsidR="0060144D">
              <w:rPr>
                <w:sz w:val="20"/>
              </w:rPr>
              <w:t>000</w:t>
            </w:r>
          </w:p>
        </w:tc>
      </w:tr>
      <w:tr w:rsidR="003442CB" w:rsidRPr="005F73F4" w:rsidTr="00B12D41">
        <w:trPr>
          <w:trHeight w:val="593"/>
        </w:trPr>
        <w:tc>
          <w:tcPr>
            <w:tcW w:w="534" w:type="dxa"/>
          </w:tcPr>
          <w:p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8" w:type="dxa"/>
          </w:tcPr>
          <w:p w:rsidR="003442CB" w:rsidRPr="005F73F4" w:rsidRDefault="00471B18" w:rsidP="00F15722">
            <w:pPr>
              <w:rPr>
                <w:sz w:val="20"/>
              </w:rPr>
            </w:pPr>
            <w:hyperlink r:id="rId7" w:history="1">
              <w:r w:rsidR="00DD458C" w:rsidRPr="00037514">
                <w:rPr>
                  <w:rStyle w:val="Hyperlink"/>
                  <w:sz w:val="20"/>
                </w:rPr>
                <w:t>www.food@work.be</w:t>
              </w:r>
            </w:hyperlink>
          </w:p>
        </w:tc>
        <w:tc>
          <w:tcPr>
            <w:tcW w:w="4219" w:type="dxa"/>
          </w:tcPr>
          <w:p w:rsidR="003442CB" w:rsidRPr="005F73F4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Jongeren warm maken en correct informeren over de concrete tewerkstelling</w:t>
            </w:r>
            <w:r w:rsidR="00B12D41">
              <w:rPr>
                <w:sz w:val="20"/>
              </w:rPr>
              <w:t>s</w:t>
            </w:r>
            <w:r>
              <w:rPr>
                <w:sz w:val="20"/>
              </w:rPr>
              <w:t>mogelijkheden binnen de sector en de voorbereidende opleidingstrajecten</w:t>
            </w:r>
          </w:p>
        </w:tc>
        <w:tc>
          <w:tcPr>
            <w:tcW w:w="2268" w:type="dxa"/>
          </w:tcPr>
          <w:p w:rsidR="003442CB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VDAB</w:t>
            </w:r>
          </w:p>
          <w:p w:rsidR="0060144D" w:rsidRDefault="0060144D" w:rsidP="00F157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Forem</w:t>
            </w:r>
            <w:proofErr w:type="spellEnd"/>
          </w:p>
          <w:p w:rsidR="0060144D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VCLB</w:t>
            </w:r>
          </w:p>
          <w:p w:rsidR="0060144D" w:rsidRPr="005F73F4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Voedingsbedrijven</w:t>
            </w:r>
          </w:p>
        </w:tc>
        <w:tc>
          <w:tcPr>
            <w:tcW w:w="1701" w:type="dxa"/>
          </w:tcPr>
          <w:p w:rsidR="003442CB" w:rsidRPr="005F73F4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Leerlingen D(BSO)/TSO</w:t>
            </w:r>
          </w:p>
        </w:tc>
        <w:tc>
          <w:tcPr>
            <w:tcW w:w="1842" w:type="dxa"/>
          </w:tcPr>
          <w:p w:rsidR="003442CB" w:rsidRPr="005F73F4" w:rsidRDefault="00DD458C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71B18">
              <w:rPr>
                <w:sz w:val="20"/>
              </w:rPr>
              <w:t>.</w:t>
            </w:r>
            <w:r>
              <w:rPr>
                <w:sz w:val="20"/>
              </w:rPr>
              <w:t>000</w:t>
            </w:r>
          </w:p>
        </w:tc>
        <w:tc>
          <w:tcPr>
            <w:tcW w:w="1842" w:type="dxa"/>
          </w:tcPr>
          <w:p w:rsidR="003442CB" w:rsidRPr="005F73F4" w:rsidRDefault="00B12D41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60144D">
              <w:rPr>
                <w:sz w:val="20"/>
              </w:rPr>
              <w:t>100</w:t>
            </w:r>
            <w:r>
              <w:rPr>
                <w:sz w:val="20"/>
              </w:rPr>
              <w:t>.</w:t>
            </w:r>
            <w:r w:rsidR="0060144D">
              <w:rPr>
                <w:sz w:val="20"/>
              </w:rPr>
              <w:t>000</w:t>
            </w:r>
          </w:p>
        </w:tc>
      </w:tr>
      <w:tr w:rsidR="003442CB" w:rsidRPr="005F73F4" w:rsidTr="00B12D41">
        <w:trPr>
          <w:trHeight w:val="593"/>
        </w:trPr>
        <w:tc>
          <w:tcPr>
            <w:tcW w:w="534" w:type="dxa"/>
          </w:tcPr>
          <w:p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8" w:type="dxa"/>
          </w:tcPr>
          <w:p w:rsidR="003442CB" w:rsidRPr="005F73F4" w:rsidRDefault="00DD458C" w:rsidP="00F15722">
            <w:pPr>
              <w:rPr>
                <w:sz w:val="20"/>
              </w:rPr>
            </w:pPr>
            <w:r>
              <w:rPr>
                <w:sz w:val="20"/>
              </w:rPr>
              <w:t>Bijkomende omkadering van alternerend leren</w:t>
            </w:r>
          </w:p>
        </w:tc>
        <w:tc>
          <w:tcPr>
            <w:tcW w:w="4219" w:type="dxa"/>
          </w:tcPr>
          <w:p w:rsidR="003442CB" w:rsidRPr="005F73F4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Jongeren op een vlotte manier en m</w:t>
            </w:r>
            <w:r w:rsidR="00B12D41">
              <w:rPr>
                <w:sz w:val="20"/>
              </w:rPr>
              <w:t>e</w:t>
            </w:r>
            <w:r>
              <w:rPr>
                <w:sz w:val="20"/>
              </w:rPr>
              <w:t>t een formele kwalificatie de overstap naar de arbeidsmarkt laten maken, door de kwaliteit van alternerende opleidingen mee te garanderen.</w:t>
            </w:r>
          </w:p>
        </w:tc>
        <w:tc>
          <w:tcPr>
            <w:tcW w:w="2268" w:type="dxa"/>
          </w:tcPr>
          <w:p w:rsidR="006671F0" w:rsidRDefault="006671F0" w:rsidP="00F15722">
            <w:pPr>
              <w:rPr>
                <w:sz w:val="20"/>
              </w:rPr>
            </w:pPr>
            <w:r>
              <w:rPr>
                <w:sz w:val="20"/>
              </w:rPr>
              <w:t>Betrokken opleidingsinstellingen</w:t>
            </w:r>
          </w:p>
          <w:p w:rsidR="003442CB" w:rsidRPr="005F73F4" w:rsidRDefault="006671F0" w:rsidP="00F15722">
            <w:pPr>
              <w:rPr>
                <w:sz w:val="20"/>
              </w:rPr>
            </w:pPr>
            <w:r>
              <w:rPr>
                <w:sz w:val="20"/>
              </w:rPr>
              <w:t>Voedingsbedrijven</w:t>
            </w:r>
          </w:p>
        </w:tc>
        <w:tc>
          <w:tcPr>
            <w:tcW w:w="1701" w:type="dxa"/>
          </w:tcPr>
          <w:p w:rsidR="003442CB" w:rsidRPr="005F73F4" w:rsidRDefault="0060144D" w:rsidP="00F15722">
            <w:pPr>
              <w:rPr>
                <w:sz w:val="20"/>
              </w:rPr>
            </w:pPr>
            <w:r>
              <w:rPr>
                <w:sz w:val="20"/>
              </w:rPr>
              <w:t>Werkgevers betrokken bij alternerende opleidingen</w:t>
            </w:r>
          </w:p>
        </w:tc>
        <w:tc>
          <w:tcPr>
            <w:tcW w:w="1842" w:type="dxa"/>
          </w:tcPr>
          <w:p w:rsidR="003442CB" w:rsidRPr="005F73F4" w:rsidRDefault="00DD458C" w:rsidP="00F1572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  <w:r w:rsidR="0060144D">
              <w:rPr>
                <w:sz w:val="20"/>
              </w:rPr>
              <w:t>/jaar</w:t>
            </w:r>
          </w:p>
        </w:tc>
        <w:tc>
          <w:tcPr>
            <w:tcW w:w="1842" w:type="dxa"/>
          </w:tcPr>
          <w:p w:rsidR="003442CB" w:rsidRPr="005F73F4" w:rsidRDefault="00B12D41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6671F0">
              <w:rPr>
                <w:sz w:val="20"/>
              </w:rPr>
              <w:t>485</w:t>
            </w:r>
            <w:r>
              <w:rPr>
                <w:sz w:val="20"/>
              </w:rPr>
              <w:t>.</w:t>
            </w:r>
            <w:r w:rsidR="006671F0">
              <w:rPr>
                <w:sz w:val="20"/>
              </w:rPr>
              <w:t>000</w:t>
            </w:r>
          </w:p>
        </w:tc>
      </w:tr>
      <w:tr w:rsidR="003442CB" w:rsidRPr="005F73F4" w:rsidTr="003442CB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:rsidR="003442CB" w:rsidRPr="005F73F4" w:rsidRDefault="003442CB" w:rsidP="00F15722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1842" w:type="dxa"/>
          </w:tcPr>
          <w:p w:rsidR="003442CB" w:rsidRPr="005F73F4" w:rsidRDefault="006671F0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71B18">
              <w:rPr>
                <w:sz w:val="20"/>
              </w:rPr>
              <w:t>.</w:t>
            </w:r>
            <w:bookmarkStart w:id="0" w:name="_GoBack"/>
            <w:bookmarkEnd w:id="0"/>
            <w:r>
              <w:rPr>
                <w:sz w:val="20"/>
              </w:rPr>
              <w:t xml:space="preserve">000 </w:t>
            </w:r>
            <w:r w:rsidR="003442CB" w:rsidRPr="005F73F4">
              <w:rPr>
                <w:sz w:val="20"/>
              </w:rPr>
              <w:t>jongeren</w:t>
            </w:r>
          </w:p>
          <w:p w:rsidR="003442CB" w:rsidRPr="005F73F4" w:rsidRDefault="006671F0" w:rsidP="00F157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  <w:r w:rsidR="003442CB" w:rsidRPr="005F73F4">
              <w:rPr>
                <w:sz w:val="20"/>
              </w:rPr>
              <w:t xml:space="preserve"> bedrijven</w:t>
            </w:r>
          </w:p>
        </w:tc>
        <w:tc>
          <w:tcPr>
            <w:tcW w:w="1842" w:type="dxa"/>
          </w:tcPr>
          <w:p w:rsidR="003442CB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60144D">
              <w:rPr>
                <w:sz w:val="20"/>
              </w:rPr>
              <w:t>785</w:t>
            </w:r>
            <w:r w:rsidR="00B12D41">
              <w:rPr>
                <w:sz w:val="20"/>
              </w:rPr>
              <w:t>.</w:t>
            </w:r>
            <w:r w:rsidR="0060144D">
              <w:rPr>
                <w:sz w:val="20"/>
              </w:rPr>
              <w:t>000</w:t>
            </w:r>
          </w:p>
        </w:tc>
      </w:tr>
    </w:tbl>
    <w:p w:rsidR="00C80B0B" w:rsidRPr="005F73F4" w:rsidRDefault="00C80B0B" w:rsidP="00B12D41">
      <w:pPr>
        <w:rPr>
          <w:sz w:val="20"/>
          <w:u w:val="single"/>
        </w:rPr>
      </w:pPr>
    </w:p>
    <w:sectPr w:rsidR="00C80B0B" w:rsidRPr="005F73F4" w:rsidSect="004A0B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41" w:rsidRDefault="00B12D41" w:rsidP="00B12D41">
      <w:pPr>
        <w:spacing w:after="0" w:line="240" w:lineRule="auto"/>
      </w:pPr>
      <w:r>
        <w:separator/>
      </w:r>
    </w:p>
  </w:endnote>
  <w:endnote w:type="continuationSeparator" w:id="0">
    <w:p w:rsidR="00B12D41" w:rsidRDefault="00B12D41" w:rsidP="00B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41" w:rsidRDefault="00B12D41" w:rsidP="00B12D41">
      <w:pPr>
        <w:spacing w:after="0" w:line="240" w:lineRule="auto"/>
      </w:pPr>
      <w:r>
        <w:separator/>
      </w:r>
    </w:p>
  </w:footnote>
  <w:footnote w:type="continuationSeparator" w:id="0">
    <w:p w:rsidR="00B12D41" w:rsidRDefault="00B12D41" w:rsidP="00B1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41" w:rsidRPr="005F73F4" w:rsidRDefault="00B12D41" w:rsidP="00B12D41">
    <w:pPr>
      <w:rPr>
        <w:sz w:val="20"/>
        <w:u w:val="single"/>
      </w:rPr>
    </w:pPr>
    <w:r w:rsidRPr="005F73F4">
      <w:rPr>
        <w:sz w:val="20"/>
        <w:u w:val="single"/>
      </w:rPr>
      <w:t xml:space="preserve">PC </w:t>
    </w:r>
    <w:r>
      <w:rPr>
        <w:sz w:val="20"/>
        <w:u w:val="single"/>
      </w:rPr>
      <w:t xml:space="preserve"> 118 </w:t>
    </w:r>
    <w:r w:rsidRPr="005F73F4">
      <w:rPr>
        <w:sz w:val="20"/>
        <w:u w:val="single"/>
      </w:rPr>
      <w:t>: Bijkomend project voor jongeren 20</w:t>
    </w:r>
    <w:r>
      <w:rPr>
        <w:sz w:val="20"/>
        <w:u w:val="single"/>
      </w:rPr>
      <w:t>20</w:t>
    </w:r>
    <w:r w:rsidRPr="005F73F4">
      <w:rPr>
        <w:sz w:val="20"/>
        <w:u w:val="single"/>
      </w:rPr>
      <w:t>-20</w:t>
    </w:r>
    <w:r>
      <w:rPr>
        <w:sz w:val="20"/>
        <w:u w:val="single"/>
      </w:rPr>
      <w:t>21</w:t>
    </w:r>
  </w:p>
  <w:p w:rsidR="00B12D41" w:rsidRDefault="00B12D41">
    <w:pPr>
      <w:pStyle w:val="Koptekst"/>
    </w:pPr>
  </w:p>
  <w:p w:rsidR="00B12D41" w:rsidRDefault="00B12D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142309"/>
    <w:rsid w:val="002C707A"/>
    <w:rsid w:val="002E5A5D"/>
    <w:rsid w:val="003442CB"/>
    <w:rsid w:val="003B3BEA"/>
    <w:rsid w:val="003C257F"/>
    <w:rsid w:val="00414741"/>
    <w:rsid w:val="00471B18"/>
    <w:rsid w:val="004A0B40"/>
    <w:rsid w:val="00575012"/>
    <w:rsid w:val="005F73F4"/>
    <w:rsid w:val="0060144D"/>
    <w:rsid w:val="006671F0"/>
    <w:rsid w:val="006C5DA5"/>
    <w:rsid w:val="006D1F54"/>
    <w:rsid w:val="007A4849"/>
    <w:rsid w:val="009118AF"/>
    <w:rsid w:val="00A02590"/>
    <w:rsid w:val="00A2211F"/>
    <w:rsid w:val="00A77B98"/>
    <w:rsid w:val="00AC754A"/>
    <w:rsid w:val="00B12D41"/>
    <w:rsid w:val="00C80B0B"/>
    <w:rsid w:val="00D3600E"/>
    <w:rsid w:val="00D3776C"/>
    <w:rsid w:val="00DD458C"/>
    <w:rsid w:val="00F1572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333B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458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1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D41"/>
  </w:style>
  <w:style w:type="paragraph" w:styleId="Voettekst">
    <w:name w:val="footer"/>
    <w:basedOn w:val="Standaard"/>
    <w:link w:val="VoettekstChar"/>
    <w:uiPriority w:val="99"/>
    <w:unhideWhenUsed/>
    <w:rsid w:val="00B1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od@wor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Werkgelegenheid - SPF Emploi)</cp:lastModifiedBy>
  <cp:revision>5</cp:revision>
  <dcterms:created xsi:type="dcterms:W3CDTF">2020-02-25T21:50:00Z</dcterms:created>
  <dcterms:modified xsi:type="dcterms:W3CDTF">2020-02-26T10:13:00Z</dcterms:modified>
</cp:coreProperties>
</file>