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12" w:rsidRDefault="00575012">
      <w:pPr>
        <w:rPr>
          <w:u w:val="single"/>
        </w:rPr>
      </w:pPr>
    </w:p>
    <w:tbl>
      <w:tblPr>
        <w:tblStyle w:val="Tabelraster"/>
        <w:tblpPr w:leftFromText="141" w:rightFromText="141" w:vertAnchor="page" w:horzAnchor="margin" w:tblpXSpec="center" w:tblpY="1529"/>
        <w:tblW w:w="15870" w:type="dxa"/>
        <w:tblLayout w:type="fixed"/>
        <w:tblLook w:val="04A0" w:firstRow="1" w:lastRow="0" w:firstColumn="1" w:lastColumn="0" w:noHBand="0" w:noVBand="1"/>
      </w:tblPr>
      <w:tblGrid>
        <w:gridCol w:w="534"/>
        <w:gridCol w:w="1701"/>
        <w:gridCol w:w="3543"/>
        <w:gridCol w:w="1560"/>
        <w:gridCol w:w="1984"/>
        <w:gridCol w:w="2268"/>
        <w:gridCol w:w="2268"/>
        <w:gridCol w:w="2012"/>
      </w:tblGrid>
      <w:tr w:rsidR="00F56A9B" w:rsidTr="00F56A9B">
        <w:trPr>
          <w:trHeight w:val="338"/>
        </w:trPr>
        <w:tc>
          <w:tcPr>
            <w:tcW w:w="534" w:type="dxa"/>
            <w:vMerge w:val="restart"/>
            <w:tcBorders>
              <w:top w:val="nil"/>
              <w:left w:val="nil"/>
            </w:tcBorders>
          </w:tcPr>
          <w:p w:rsidR="00F56A9B" w:rsidRDefault="00F56A9B" w:rsidP="00F56A9B"/>
        </w:tc>
        <w:tc>
          <w:tcPr>
            <w:tcW w:w="1701" w:type="dxa"/>
            <w:vMerge w:val="restart"/>
            <w:shd w:val="clear" w:color="auto" w:fill="B8CCE4" w:themeFill="accent1" w:themeFillTint="66"/>
            <w:vAlign w:val="center"/>
          </w:tcPr>
          <w:p w:rsidR="00F56A9B" w:rsidRDefault="00F56A9B" w:rsidP="00F56A9B">
            <w:pPr>
              <w:jc w:val="center"/>
            </w:pPr>
            <w:r>
              <w:t>Benaming van de actie</w:t>
            </w:r>
          </w:p>
        </w:tc>
        <w:tc>
          <w:tcPr>
            <w:tcW w:w="3543" w:type="dxa"/>
            <w:vMerge w:val="restart"/>
            <w:shd w:val="clear" w:color="auto" w:fill="B8CCE4" w:themeFill="accent1" w:themeFillTint="66"/>
            <w:vAlign w:val="center"/>
          </w:tcPr>
          <w:p w:rsidR="00F56A9B" w:rsidRDefault="00F56A9B" w:rsidP="00F56A9B">
            <w:pPr>
              <w:jc w:val="center"/>
            </w:pPr>
            <w:r>
              <w:t>Na te streven doelstellingen</w:t>
            </w:r>
          </w:p>
        </w:tc>
        <w:tc>
          <w:tcPr>
            <w:tcW w:w="1560" w:type="dxa"/>
            <w:vMerge w:val="restart"/>
            <w:shd w:val="clear" w:color="auto" w:fill="B8CCE4" w:themeFill="accent1" w:themeFillTint="66"/>
            <w:vAlign w:val="center"/>
          </w:tcPr>
          <w:p w:rsidR="00F56A9B" w:rsidRDefault="00F56A9B" w:rsidP="00F56A9B">
            <w:pPr>
              <w:jc w:val="center"/>
            </w:pPr>
            <w:r>
              <w:t>Samenwerking(en) met… (andere organisaties)</w:t>
            </w:r>
          </w:p>
        </w:tc>
        <w:tc>
          <w:tcPr>
            <w:tcW w:w="1984" w:type="dxa"/>
            <w:vMerge w:val="restart"/>
            <w:shd w:val="clear" w:color="auto" w:fill="B8CCE4" w:themeFill="accent1" w:themeFillTint="66"/>
            <w:vAlign w:val="center"/>
          </w:tcPr>
          <w:p w:rsidR="00F56A9B" w:rsidRDefault="00F56A9B" w:rsidP="00F56A9B">
            <w:pPr>
              <w:jc w:val="center"/>
            </w:pPr>
            <w:r>
              <w:t>Doelgroep</w:t>
            </w:r>
          </w:p>
        </w:tc>
        <w:tc>
          <w:tcPr>
            <w:tcW w:w="2268" w:type="dxa"/>
            <w:vMerge w:val="restart"/>
            <w:shd w:val="clear" w:color="auto" w:fill="B8CCE4" w:themeFill="accent1" w:themeFillTint="66"/>
            <w:vAlign w:val="center"/>
          </w:tcPr>
          <w:p w:rsidR="00F56A9B" w:rsidRDefault="00F56A9B" w:rsidP="00F56A9B">
            <w:pPr>
              <w:jc w:val="center"/>
            </w:pPr>
            <w:r>
              <w:t>Beoogd aantal deelnemers</w:t>
            </w:r>
          </w:p>
        </w:tc>
        <w:tc>
          <w:tcPr>
            <w:tcW w:w="4280" w:type="dxa"/>
            <w:gridSpan w:val="2"/>
            <w:shd w:val="clear" w:color="auto" w:fill="B8CCE4" w:themeFill="accent1" w:themeFillTint="66"/>
            <w:vAlign w:val="center"/>
          </w:tcPr>
          <w:p w:rsidR="00F56A9B" w:rsidRDefault="00F56A9B" w:rsidP="00F56A9B">
            <w:pPr>
              <w:jc w:val="center"/>
            </w:pPr>
            <w:r>
              <w:t>Kost van de actie</w:t>
            </w:r>
          </w:p>
        </w:tc>
      </w:tr>
      <w:tr w:rsidR="00F56A9B" w:rsidTr="00F56A9B">
        <w:trPr>
          <w:trHeight w:val="338"/>
        </w:trPr>
        <w:tc>
          <w:tcPr>
            <w:tcW w:w="534" w:type="dxa"/>
            <w:vMerge/>
            <w:tcBorders>
              <w:left w:val="nil"/>
            </w:tcBorders>
          </w:tcPr>
          <w:p w:rsidR="00F56A9B" w:rsidRDefault="00F56A9B" w:rsidP="00F56A9B"/>
        </w:tc>
        <w:tc>
          <w:tcPr>
            <w:tcW w:w="1701" w:type="dxa"/>
            <w:vMerge/>
            <w:shd w:val="clear" w:color="auto" w:fill="B8CCE4" w:themeFill="accent1" w:themeFillTint="66"/>
            <w:vAlign w:val="center"/>
          </w:tcPr>
          <w:p w:rsidR="00F56A9B" w:rsidRDefault="00F56A9B" w:rsidP="00F56A9B">
            <w:pPr>
              <w:jc w:val="center"/>
            </w:pPr>
          </w:p>
        </w:tc>
        <w:tc>
          <w:tcPr>
            <w:tcW w:w="3543" w:type="dxa"/>
            <w:vMerge/>
            <w:shd w:val="clear" w:color="auto" w:fill="B8CCE4" w:themeFill="accent1" w:themeFillTint="66"/>
            <w:vAlign w:val="center"/>
          </w:tcPr>
          <w:p w:rsidR="00F56A9B" w:rsidRDefault="00F56A9B" w:rsidP="00F56A9B">
            <w:pPr>
              <w:jc w:val="center"/>
            </w:pPr>
          </w:p>
        </w:tc>
        <w:tc>
          <w:tcPr>
            <w:tcW w:w="1560" w:type="dxa"/>
            <w:vMerge/>
            <w:shd w:val="clear" w:color="auto" w:fill="B8CCE4" w:themeFill="accent1" w:themeFillTint="66"/>
            <w:vAlign w:val="center"/>
          </w:tcPr>
          <w:p w:rsidR="00F56A9B" w:rsidRDefault="00F56A9B" w:rsidP="00F56A9B">
            <w:pPr>
              <w:jc w:val="center"/>
            </w:pPr>
          </w:p>
        </w:tc>
        <w:tc>
          <w:tcPr>
            <w:tcW w:w="1984" w:type="dxa"/>
            <w:vMerge/>
            <w:shd w:val="clear" w:color="auto" w:fill="B8CCE4" w:themeFill="accent1" w:themeFillTint="66"/>
            <w:vAlign w:val="center"/>
          </w:tcPr>
          <w:p w:rsidR="00F56A9B" w:rsidRDefault="00F56A9B" w:rsidP="00F56A9B">
            <w:pPr>
              <w:jc w:val="center"/>
            </w:pPr>
          </w:p>
        </w:tc>
        <w:tc>
          <w:tcPr>
            <w:tcW w:w="2268" w:type="dxa"/>
            <w:vMerge/>
            <w:shd w:val="clear" w:color="auto" w:fill="B8CCE4" w:themeFill="accent1" w:themeFillTint="66"/>
            <w:vAlign w:val="center"/>
          </w:tcPr>
          <w:p w:rsidR="00F56A9B" w:rsidRDefault="00F56A9B" w:rsidP="00F56A9B">
            <w:pPr>
              <w:jc w:val="center"/>
            </w:pPr>
          </w:p>
        </w:tc>
        <w:tc>
          <w:tcPr>
            <w:tcW w:w="2268" w:type="dxa"/>
            <w:shd w:val="clear" w:color="auto" w:fill="B8CCE4" w:themeFill="accent1" w:themeFillTint="66"/>
            <w:vAlign w:val="center"/>
          </w:tcPr>
          <w:p w:rsidR="00F56A9B" w:rsidRDefault="00F56A9B" w:rsidP="00F56A9B">
            <w:pPr>
              <w:jc w:val="center"/>
            </w:pPr>
            <w:r>
              <w:t>Middelen bijkomend project (&lt; RVA)</w:t>
            </w:r>
          </w:p>
        </w:tc>
        <w:tc>
          <w:tcPr>
            <w:tcW w:w="2012" w:type="dxa"/>
            <w:shd w:val="clear" w:color="auto" w:fill="B8CCE4" w:themeFill="accent1" w:themeFillTint="66"/>
            <w:vAlign w:val="center"/>
          </w:tcPr>
          <w:p w:rsidR="00F56A9B" w:rsidRDefault="00F56A9B" w:rsidP="00F56A9B">
            <w:pPr>
              <w:jc w:val="center"/>
            </w:pPr>
            <w:r>
              <w:t>Middelen sector</w:t>
            </w:r>
          </w:p>
        </w:tc>
      </w:tr>
      <w:tr w:rsidR="00F56A9B" w:rsidTr="00F56A9B">
        <w:trPr>
          <w:trHeight w:val="1230"/>
        </w:trPr>
        <w:tc>
          <w:tcPr>
            <w:tcW w:w="534" w:type="dxa"/>
          </w:tcPr>
          <w:p w:rsidR="00F56A9B" w:rsidRDefault="00F56A9B" w:rsidP="00F56A9B">
            <w:r>
              <w:t>1</w:t>
            </w:r>
          </w:p>
        </w:tc>
        <w:tc>
          <w:tcPr>
            <w:tcW w:w="1701" w:type="dxa"/>
          </w:tcPr>
          <w:p w:rsidR="00F56A9B" w:rsidRDefault="00F56A9B" w:rsidP="00F56A9B">
            <w:r>
              <w:t>Extra brugprojecten</w:t>
            </w:r>
          </w:p>
        </w:tc>
        <w:tc>
          <w:tcPr>
            <w:tcW w:w="3543" w:type="dxa"/>
          </w:tcPr>
          <w:p w:rsidR="00F56A9B" w:rsidRDefault="00F56A9B" w:rsidP="00F56A9B">
            <w:r>
              <w:t xml:space="preserve">Jongeren kennis laten maken met de sector en hen een eerste zinvolle werkervaring bieden, is hetgeen schuilgaat achter de ‘brugprojecten’, waarbij werkervaringsplaatsen gecreëerd worden voor deeltijds leren voor jongeren die én </w:t>
            </w:r>
            <w:proofErr w:type="spellStart"/>
            <w:r>
              <w:t>schoolmoe</w:t>
            </w:r>
            <w:proofErr w:type="spellEnd"/>
            <w:r>
              <w:t xml:space="preserve"> zijn én (quasi)- arbeidsrijp zijn.</w:t>
            </w:r>
          </w:p>
          <w:p w:rsidR="00F56A9B" w:rsidRDefault="00F56A9B" w:rsidP="00F56A9B">
            <w:r>
              <w:t>Het uiteindelijke doel van een brugproject is om de jongere te begeleiden naar regulier deeltijds werk. Maar ook als de begeleiding niet tot een directe toeleiding naar werk leidt, verhoogt deelname aan het project de kansen van jongeren. Binnen deze ervaring wordt vooral ingezet op algemene arbeidsattitudes, technische vaardigheden en werkmethodes maar ook op een concreet en realistisch zelfbeeld.</w:t>
            </w:r>
          </w:p>
        </w:tc>
        <w:tc>
          <w:tcPr>
            <w:tcW w:w="1560" w:type="dxa"/>
          </w:tcPr>
          <w:p w:rsidR="00F56A9B" w:rsidRDefault="00F56A9B" w:rsidP="00F56A9B">
            <w:r>
              <w:t>FVBZ Sociale Werkplaatsen, Samen Sociaal Tewerkstellen en VIVO</w:t>
            </w:r>
          </w:p>
        </w:tc>
        <w:tc>
          <w:tcPr>
            <w:tcW w:w="1984" w:type="dxa"/>
          </w:tcPr>
          <w:p w:rsidR="00F56A9B" w:rsidRDefault="00F56A9B" w:rsidP="00F56A9B">
            <w:pPr>
              <w:pStyle w:val="Default"/>
              <w:rPr>
                <w:rFonts w:asciiTheme="minorHAnsi" w:hAnsiTheme="minorHAnsi"/>
                <w:sz w:val="22"/>
                <w:szCs w:val="22"/>
              </w:rPr>
            </w:pPr>
            <w:r w:rsidRPr="00565F9E">
              <w:rPr>
                <w:rFonts w:asciiTheme="minorHAnsi" w:hAnsiTheme="minorHAnsi"/>
                <w:sz w:val="22"/>
                <w:szCs w:val="22"/>
              </w:rPr>
              <w:t xml:space="preserve">Jongeren die nog geen 26 jaar oud zijn en opgeleid worden; in </w:t>
            </w:r>
            <w:proofErr w:type="spellStart"/>
            <w:r w:rsidRPr="00565F9E">
              <w:rPr>
                <w:rFonts w:asciiTheme="minorHAnsi" w:hAnsiTheme="minorHAnsi"/>
                <w:sz w:val="22"/>
                <w:szCs w:val="22"/>
              </w:rPr>
              <w:t>casu</w:t>
            </w:r>
            <w:proofErr w:type="spellEnd"/>
            <w:r w:rsidRPr="00565F9E">
              <w:rPr>
                <w:rFonts w:asciiTheme="minorHAnsi" w:hAnsiTheme="minorHAnsi"/>
                <w:sz w:val="22"/>
                <w:szCs w:val="22"/>
              </w:rPr>
              <w:t xml:space="preserve"> in een stelsel van alternerend leren (deeltijds beroepssecundair onderwijs bij de Vlaamse </w:t>
            </w:r>
            <w:proofErr w:type="spellStart"/>
            <w:r w:rsidRPr="00565F9E">
              <w:rPr>
                <w:rFonts w:asciiTheme="minorHAnsi" w:hAnsiTheme="minorHAnsi"/>
                <w:sz w:val="22"/>
                <w:szCs w:val="22"/>
              </w:rPr>
              <w:t>CDO’s</w:t>
            </w:r>
            <w:proofErr w:type="spellEnd"/>
            <w:r w:rsidRPr="00565F9E">
              <w:rPr>
                <w:rFonts w:asciiTheme="minorHAnsi" w:hAnsiTheme="minorHAnsi"/>
                <w:sz w:val="22"/>
                <w:szCs w:val="22"/>
              </w:rPr>
              <w:t>).</w:t>
            </w:r>
          </w:p>
          <w:p w:rsidR="00F56A9B" w:rsidRDefault="00F56A9B" w:rsidP="00F56A9B">
            <w:pPr>
              <w:pStyle w:val="Default"/>
              <w:rPr>
                <w:rFonts w:asciiTheme="minorHAnsi" w:hAnsiTheme="minorHAnsi"/>
                <w:sz w:val="22"/>
                <w:szCs w:val="22"/>
              </w:rPr>
            </w:pPr>
          </w:p>
          <w:p w:rsidR="00F56A9B" w:rsidRPr="00565F9E" w:rsidRDefault="00F56A9B" w:rsidP="00F56A9B">
            <w:pPr>
              <w:pStyle w:val="Default"/>
              <w:rPr>
                <w:rFonts w:asciiTheme="minorHAnsi" w:hAnsiTheme="minorHAnsi"/>
                <w:sz w:val="22"/>
                <w:szCs w:val="22"/>
              </w:rPr>
            </w:pPr>
            <w:r>
              <w:rPr>
                <w:rFonts w:asciiTheme="minorHAnsi" w:hAnsiTheme="minorHAnsi"/>
                <w:sz w:val="22"/>
                <w:szCs w:val="22"/>
              </w:rPr>
              <w:t xml:space="preserve">We willen vooral aandacht geven aan quasi-arbeidsrijpe </w:t>
            </w:r>
            <w:proofErr w:type="spellStart"/>
            <w:r>
              <w:rPr>
                <w:rFonts w:asciiTheme="minorHAnsi" w:hAnsiTheme="minorHAnsi"/>
                <w:sz w:val="22"/>
                <w:szCs w:val="22"/>
              </w:rPr>
              <w:t>schoolmoeë</w:t>
            </w:r>
            <w:proofErr w:type="spellEnd"/>
            <w:r>
              <w:rPr>
                <w:rFonts w:asciiTheme="minorHAnsi" w:hAnsiTheme="minorHAnsi"/>
                <w:sz w:val="22"/>
                <w:szCs w:val="22"/>
              </w:rPr>
              <w:t xml:space="preserve"> jongeren.</w:t>
            </w:r>
            <w:r w:rsidRPr="00565F9E">
              <w:rPr>
                <w:rFonts w:asciiTheme="minorHAnsi" w:hAnsiTheme="minorHAnsi"/>
                <w:sz w:val="22"/>
                <w:szCs w:val="22"/>
              </w:rPr>
              <w:t xml:space="preserve"> </w:t>
            </w:r>
          </w:p>
          <w:p w:rsidR="00F56A9B" w:rsidRDefault="00F56A9B" w:rsidP="00F56A9B"/>
        </w:tc>
        <w:tc>
          <w:tcPr>
            <w:tcW w:w="2268" w:type="dxa"/>
          </w:tcPr>
          <w:p w:rsidR="00F56A9B" w:rsidRDefault="00F56A9B" w:rsidP="00F56A9B">
            <w:r>
              <w:t>De 11 extra brugtrajecten maken deel uit van een groter geheel.</w:t>
            </w:r>
          </w:p>
          <w:p w:rsidR="00F56A9B" w:rsidRDefault="00F56A9B" w:rsidP="00F56A9B">
            <w:r>
              <w:t>Deze 11 projecten beogen samen een 90-tal jongeren gedurende een schooljaar te kunnen begeleiden op de werkvloeren van de sociale werkplaatsen. Alle brugprojecten samen beogen ca</w:t>
            </w:r>
            <w:r>
              <w:t>.</w:t>
            </w:r>
            <w:r>
              <w:t xml:space="preserve"> 260 jongeren te kunnen begeleiden</w:t>
            </w:r>
          </w:p>
        </w:tc>
        <w:tc>
          <w:tcPr>
            <w:tcW w:w="2268" w:type="dxa"/>
          </w:tcPr>
          <w:p w:rsidR="00F56A9B" w:rsidRPr="006650F8" w:rsidRDefault="00F56A9B" w:rsidP="00F56A9B">
            <w:r w:rsidRPr="006650F8">
              <w:rPr>
                <w:rFonts w:cs="Arial"/>
              </w:rPr>
              <w:t>T</w:t>
            </w:r>
            <w:r>
              <w:rPr>
                <w:rFonts w:cs="Arial"/>
              </w:rPr>
              <w:t>oegekende enveloppe: € 211.024,96</w:t>
            </w:r>
          </w:p>
        </w:tc>
        <w:tc>
          <w:tcPr>
            <w:tcW w:w="2012" w:type="dxa"/>
          </w:tcPr>
          <w:p w:rsidR="00F56A9B" w:rsidRPr="006650F8" w:rsidRDefault="00F56A9B" w:rsidP="00F56A9B">
            <w:r w:rsidRPr="006650F8">
              <w:t xml:space="preserve">&gt; 500.000€ </w:t>
            </w:r>
          </w:p>
        </w:tc>
      </w:tr>
      <w:tr w:rsidR="00F56A9B" w:rsidTr="00F56A9B">
        <w:trPr>
          <w:trHeight w:val="707"/>
        </w:trPr>
        <w:tc>
          <w:tcPr>
            <w:tcW w:w="9322" w:type="dxa"/>
            <w:gridSpan w:val="5"/>
            <w:tcBorders>
              <w:left w:val="nil"/>
              <w:bottom w:val="nil"/>
            </w:tcBorders>
          </w:tcPr>
          <w:p w:rsidR="00F56A9B" w:rsidRPr="004A0B40" w:rsidRDefault="00F56A9B" w:rsidP="00F56A9B">
            <w:pPr>
              <w:jc w:val="right"/>
              <w:rPr>
                <w:sz w:val="30"/>
                <w:szCs w:val="30"/>
              </w:rPr>
            </w:pPr>
            <w:r w:rsidRPr="004A0B40">
              <w:rPr>
                <w:sz w:val="30"/>
                <w:szCs w:val="30"/>
              </w:rPr>
              <w:t>Totaal</w:t>
            </w:r>
          </w:p>
        </w:tc>
        <w:tc>
          <w:tcPr>
            <w:tcW w:w="2268" w:type="dxa"/>
          </w:tcPr>
          <w:p w:rsidR="00F56A9B" w:rsidRDefault="00F56A9B" w:rsidP="00F56A9B">
            <w:r>
              <w:t>90-tal jongeren</w:t>
            </w:r>
          </w:p>
        </w:tc>
        <w:tc>
          <w:tcPr>
            <w:tcW w:w="2268" w:type="dxa"/>
          </w:tcPr>
          <w:p w:rsidR="00F56A9B" w:rsidRDefault="00F56A9B" w:rsidP="00F56A9B">
            <w:r>
              <w:rPr>
                <w:rFonts w:cs="Arial"/>
              </w:rPr>
              <w:t xml:space="preserve">€ </w:t>
            </w:r>
            <w:r w:rsidRPr="006650F8">
              <w:rPr>
                <w:rFonts w:cs="Arial"/>
              </w:rPr>
              <w:t>211.024,96</w:t>
            </w:r>
          </w:p>
        </w:tc>
        <w:tc>
          <w:tcPr>
            <w:tcW w:w="2012" w:type="dxa"/>
          </w:tcPr>
          <w:p w:rsidR="00F56A9B" w:rsidRDefault="00F56A9B" w:rsidP="00F56A9B"/>
        </w:tc>
      </w:tr>
    </w:tbl>
    <w:p w:rsidR="00575012" w:rsidRDefault="00F56A9B">
      <w:pPr>
        <w:rPr>
          <w:u w:val="single"/>
        </w:rPr>
      </w:pPr>
      <w:proofErr w:type="spellStart"/>
      <w:r>
        <w:rPr>
          <w:u w:val="single"/>
        </w:rPr>
        <w:t>PsC</w:t>
      </w:r>
      <w:proofErr w:type="spellEnd"/>
      <w:r>
        <w:rPr>
          <w:u w:val="single"/>
        </w:rPr>
        <w:t xml:space="preserve"> 327.01: </w:t>
      </w:r>
      <w:r w:rsidR="004A0B40" w:rsidRPr="004A0B40">
        <w:rPr>
          <w:u w:val="single"/>
        </w:rPr>
        <w:t>Bijkomend project voor jongeren 2018-2019</w:t>
      </w:r>
    </w:p>
    <w:p w:rsidR="00575012" w:rsidRPr="00575012" w:rsidRDefault="00575012" w:rsidP="00575012"/>
    <w:p w:rsidR="003B5287" w:rsidRPr="00F56A9B" w:rsidRDefault="00F56A9B" w:rsidP="00F56A9B">
      <w:pPr>
        <w:tabs>
          <w:tab w:val="left" w:pos="1978"/>
        </w:tabs>
      </w:pPr>
      <w:bookmarkStart w:id="0" w:name="_GoBack"/>
      <w:bookmarkEnd w:id="0"/>
    </w:p>
    <w:sectPr w:rsidR="003B5287" w:rsidRPr="00F56A9B" w:rsidSect="00F56A9B">
      <w:pgSz w:w="16838" w:h="11906" w:orient="landscape"/>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1F0F"/>
    <w:multiLevelType w:val="hybridMultilevel"/>
    <w:tmpl w:val="21229DB6"/>
    <w:lvl w:ilvl="0" w:tplc="7B420BD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8BD2E9C"/>
    <w:multiLevelType w:val="hybridMultilevel"/>
    <w:tmpl w:val="B6FC7556"/>
    <w:lvl w:ilvl="0" w:tplc="DAC8DDC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142309"/>
    <w:rsid w:val="002221ED"/>
    <w:rsid w:val="002C707A"/>
    <w:rsid w:val="003B3BEA"/>
    <w:rsid w:val="004A0B40"/>
    <w:rsid w:val="00565F9E"/>
    <w:rsid w:val="00575012"/>
    <w:rsid w:val="005B1174"/>
    <w:rsid w:val="006650F8"/>
    <w:rsid w:val="007A4849"/>
    <w:rsid w:val="00F56A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F9E"/>
    <w:pPr>
      <w:autoSpaceDE w:val="0"/>
      <w:autoSpaceDN w:val="0"/>
      <w:adjustRightInd w:val="0"/>
      <w:spacing w:after="0" w:line="240" w:lineRule="auto"/>
    </w:pPr>
    <w:rPr>
      <w:rFonts w:ascii="Roboto" w:hAnsi="Roboto" w:cs="Roboto"/>
      <w:color w:val="000000"/>
      <w:sz w:val="24"/>
      <w:szCs w:val="24"/>
    </w:rPr>
  </w:style>
  <w:style w:type="paragraph" w:styleId="Lijstalinea">
    <w:name w:val="List Paragraph"/>
    <w:basedOn w:val="Standaard"/>
    <w:uiPriority w:val="34"/>
    <w:qFormat/>
    <w:rsid w:val="00565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F9E"/>
    <w:pPr>
      <w:autoSpaceDE w:val="0"/>
      <w:autoSpaceDN w:val="0"/>
      <w:adjustRightInd w:val="0"/>
      <w:spacing w:after="0" w:line="240" w:lineRule="auto"/>
    </w:pPr>
    <w:rPr>
      <w:rFonts w:ascii="Roboto" w:hAnsi="Roboto" w:cs="Roboto"/>
      <w:color w:val="000000"/>
      <w:sz w:val="24"/>
      <w:szCs w:val="24"/>
    </w:rPr>
  </w:style>
  <w:style w:type="paragraph" w:styleId="Lijstalinea">
    <w:name w:val="List Paragraph"/>
    <w:basedOn w:val="Standaard"/>
    <w:uiPriority w:val="34"/>
    <w:qFormat/>
    <w:rsid w:val="0056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2</cp:revision>
  <dcterms:created xsi:type="dcterms:W3CDTF">2018-02-05T15:22:00Z</dcterms:created>
  <dcterms:modified xsi:type="dcterms:W3CDTF">2018-02-05T15:22:00Z</dcterms:modified>
</cp:coreProperties>
</file>