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7D" w:rsidRDefault="008E387D">
      <w:pPr>
        <w:rPr>
          <w:u w:val="single"/>
        </w:rPr>
      </w:pPr>
    </w:p>
    <w:p w:rsidR="008E387D" w:rsidRDefault="00D63AC4">
      <w:pPr>
        <w:rPr>
          <w:u w:val="single"/>
        </w:rPr>
      </w:pPr>
      <w:r>
        <w:rPr>
          <w:u w:val="single"/>
        </w:rPr>
        <w:t>Bijkomend project voor jongeren 2018-2019 - PC 227</w:t>
      </w:r>
    </w:p>
    <w:tbl>
      <w:tblPr>
        <w:tblStyle w:val="a"/>
        <w:tblW w:w="15855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701"/>
        <w:gridCol w:w="3750"/>
        <w:gridCol w:w="1560"/>
        <w:gridCol w:w="1770"/>
        <w:gridCol w:w="1425"/>
        <w:gridCol w:w="2595"/>
        <w:gridCol w:w="2520"/>
      </w:tblGrid>
      <w:tr w:rsidR="008E387D" w:rsidTr="003230D3">
        <w:trPr>
          <w:trHeight w:val="280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8E387D" w:rsidRDefault="008E387D"/>
        </w:tc>
        <w:tc>
          <w:tcPr>
            <w:tcW w:w="1701" w:type="dxa"/>
            <w:vMerge w:val="restart"/>
            <w:shd w:val="clear" w:color="auto" w:fill="B8CCE4"/>
            <w:vAlign w:val="center"/>
          </w:tcPr>
          <w:p w:rsidR="008E387D" w:rsidRDefault="00D63AC4">
            <w:pPr>
              <w:jc w:val="center"/>
            </w:pPr>
            <w:r>
              <w:t>Benaming van de actie</w:t>
            </w:r>
          </w:p>
        </w:tc>
        <w:tc>
          <w:tcPr>
            <w:tcW w:w="3750" w:type="dxa"/>
            <w:vMerge w:val="restart"/>
            <w:shd w:val="clear" w:color="auto" w:fill="B8CCE4"/>
            <w:vAlign w:val="center"/>
          </w:tcPr>
          <w:p w:rsidR="008E387D" w:rsidRDefault="00D63AC4">
            <w:pPr>
              <w:jc w:val="center"/>
            </w:pPr>
            <w:r>
              <w:t>Na te streven doelstellingen</w:t>
            </w:r>
          </w:p>
        </w:tc>
        <w:tc>
          <w:tcPr>
            <w:tcW w:w="1560" w:type="dxa"/>
            <w:vMerge w:val="restart"/>
            <w:shd w:val="clear" w:color="auto" w:fill="B8CCE4"/>
            <w:vAlign w:val="center"/>
          </w:tcPr>
          <w:p w:rsidR="008E387D" w:rsidRDefault="00D63AC4">
            <w:pPr>
              <w:jc w:val="center"/>
            </w:pPr>
            <w:r>
              <w:t>Samenwerking(en) met… (andere organisaties)</w:t>
            </w:r>
          </w:p>
        </w:tc>
        <w:tc>
          <w:tcPr>
            <w:tcW w:w="1770" w:type="dxa"/>
            <w:vMerge w:val="restart"/>
            <w:shd w:val="clear" w:color="auto" w:fill="B8CCE4"/>
            <w:vAlign w:val="center"/>
          </w:tcPr>
          <w:p w:rsidR="008E387D" w:rsidRDefault="00D63AC4">
            <w:pPr>
              <w:jc w:val="center"/>
            </w:pPr>
            <w:r>
              <w:t>Doelgroep</w:t>
            </w:r>
          </w:p>
        </w:tc>
        <w:tc>
          <w:tcPr>
            <w:tcW w:w="1425" w:type="dxa"/>
            <w:vMerge w:val="restart"/>
            <w:shd w:val="clear" w:color="auto" w:fill="B8CCE4"/>
            <w:vAlign w:val="center"/>
          </w:tcPr>
          <w:p w:rsidR="008E387D" w:rsidRDefault="00D63AC4">
            <w:pPr>
              <w:jc w:val="center"/>
            </w:pPr>
            <w:r>
              <w:t>Beoogd # deelnemers</w:t>
            </w:r>
          </w:p>
        </w:tc>
        <w:tc>
          <w:tcPr>
            <w:tcW w:w="5115" w:type="dxa"/>
            <w:gridSpan w:val="2"/>
            <w:shd w:val="clear" w:color="auto" w:fill="B8CCE4"/>
            <w:vAlign w:val="center"/>
          </w:tcPr>
          <w:p w:rsidR="008E387D" w:rsidRDefault="00D63AC4">
            <w:pPr>
              <w:jc w:val="center"/>
            </w:pPr>
            <w:r>
              <w:t>Kost van de actie</w:t>
            </w:r>
          </w:p>
        </w:tc>
      </w:tr>
      <w:tr w:rsidR="008E387D" w:rsidTr="003230D3">
        <w:trPr>
          <w:trHeight w:val="320"/>
        </w:trPr>
        <w:tc>
          <w:tcPr>
            <w:tcW w:w="534" w:type="dxa"/>
            <w:vMerge/>
            <w:tcBorders>
              <w:top w:val="nil"/>
              <w:left w:val="nil"/>
            </w:tcBorders>
          </w:tcPr>
          <w:p w:rsidR="008E387D" w:rsidRDefault="008E387D">
            <w:pPr>
              <w:widowControl w:val="0"/>
              <w:spacing w:line="276" w:lineRule="auto"/>
            </w:pPr>
          </w:p>
        </w:tc>
        <w:tc>
          <w:tcPr>
            <w:tcW w:w="1701" w:type="dxa"/>
            <w:vMerge/>
            <w:shd w:val="clear" w:color="auto" w:fill="B8CCE4"/>
            <w:vAlign w:val="center"/>
          </w:tcPr>
          <w:p w:rsidR="008E387D" w:rsidRDefault="008E387D">
            <w:pPr>
              <w:widowControl w:val="0"/>
              <w:spacing w:line="276" w:lineRule="auto"/>
            </w:pPr>
          </w:p>
        </w:tc>
        <w:tc>
          <w:tcPr>
            <w:tcW w:w="3750" w:type="dxa"/>
            <w:vMerge/>
            <w:shd w:val="clear" w:color="auto" w:fill="B8CCE4"/>
            <w:vAlign w:val="center"/>
          </w:tcPr>
          <w:p w:rsidR="008E387D" w:rsidRDefault="008E387D">
            <w:pPr>
              <w:widowControl w:val="0"/>
              <w:spacing w:line="276" w:lineRule="auto"/>
            </w:pPr>
          </w:p>
        </w:tc>
        <w:tc>
          <w:tcPr>
            <w:tcW w:w="1560" w:type="dxa"/>
            <w:vMerge/>
            <w:shd w:val="clear" w:color="auto" w:fill="B8CCE4"/>
            <w:vAlign w:val="center"/>
          </w:tcPr>
          <w:p w:rsidR="008E387D" w:rsidRDefault="008E387D">
            <w:pPr>
              <w:widowControl w:val="0"/>
              <w:spacing w:line="276" w:lineRule="auto"/>
            </w:pPr>
          </w:p>
        </w:tc>
        <w:tc>
          <w:tcPr>
            <w:tcW w:w="1770" w:type="dxa"/>
            <w:vMerge/>
            <w:shd w:val="clear" w:color="auto" w:fill="B8CCE4"/>
            <w:vAlign w:val="center"/>
          </w:tcPr>
          <w:p w:rsidR="008E387D" w:rsidRDefault="008E387D">
            <w:pPr>
              <w:widowControl w:val="0"/>
              <w:spacing w:line="276" w:lineRule="auto"/>
            </w:pPr>
          </w:p>
        </w:tc>
        <w:tc>
          <w:tcPr>
            <w:tcW w:w="1425" w:type="dxa"/>
            <w:vMerge/>
            <w:shd w:val="clear" w:color="auto" w:fill="B8CCE4"/>
            <w:vAlign w:val="center"/>
          </w:tcPr>
          <w:p w:rsidR="008E387D" w:rsidRDefault="008E387D"/>
          <w:p w:rsidR="008E387D" w:rsidRDefault="008E387D">
            <w:pPr>
              <w:jc w:val="center"/>
            </w:pPr>
          </w:p>
          <w:p w:rsidR="008E387D" w:rsidRDefault="008E387D">
            <w:pPr>
              <w:jc w:val="center"/>
            </w:pPr>
          </w:p>
          <w:p w:rsidR="008E387D" w:rsidRDefault="008E387D">
            <w:pPr>
              <w:jc w:val="center"/>
            </w:pPr>
          </w:p>
          <w:p w:rsidR="008E387D" w:rsidRDefault="008E387D">
            <w:pPr>
              <w:jc w:val="center"/>
            </w:pPr>
          </w:p>
          <w:p w:rsidR="008E387D" w:rsidRDefault="008E387D">
            <w:pPr>
              <w:jc w:val="center"/>
            </w:pPr>
          </w:p>
        </w:tc>
        <w:tc>
          <w:tcPr>
            <w:tcW w:w="2595" w:type="dxa"/>
            <w:shd w:val="clear" w:color="auto" w:fill="B8CCE4"/>
            <w:vAlign w:val="center"/>
          </w:tcPr>
          <w:p w:rsidR="008E387D" w:rsidRDefault="00D63AC4">
            <w:pPr>
              <w:jc w:val="center"/>
            </w:pPr>
            <w:r>
              <w:t>Middelen bijkomend project (&lt; RVA)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8E387D" w:rsidRDefault="00D63AC4">
            <w:pPr>
              <w:ind w:right="622"/>
              <w:jc w:val="center"/>
            </w:pPr>
            <w:r>
              <w:t>Middelen sector</w:t>
            </w:r>
          </w:p>
        </w:tc>
      </w:tr>
      <w:tr w:rsidR="008E387D" w:rsidTr="003230D3">
        <w:trPr>
          <w:trHeight w:val="1220"/>
        </w:trPr>
        <w:tc>
          <w:tcPr>
            <w:tcW w:w="534" w:type="dxa"/>
          </w:tcPr>
          <w:p w:rsidR="008E387D" w:rsidRDefault="00D63AC4">
            <w:r>
              <w:t>1</w:t>
            </w:r>
          </w:p>
        </w:tc>
        <w:tc>
          <w:tcPr>
            <w:tcW w:w="1701" w:type="dxa"/>
          </w:tcPr>
          <w:p w:rsidR="008E387D" w:rsidRDefault="00D63AC4">
            <w:r>
              <w:rPr>
                <w:b/>
              </w:rPr>
              <w:t>Mediastages</w:t>
            </w:r>
            <w:r>
              <w:br/>
            </w:r>
          </w:p>
        </w:tc>
        <w:tc>
          <w:tcPr>
            <w:tcW w:w="3750" w:type="dxa"/>
          </w:tcPr>
          <w:p w:rsidR="008E387D" w:rsidRDefault="00D63A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Brug slaan tussen de uitstroom uit het hoger onderwijs en de professionele audiovisuele sector. </w:t>
            </w:r>
            <w:r>
              <w:br/>
            </w:r>
          </w:p>
          <w:p w:rsidR="008E387D" w:rsidRDefault="00D63AC4">
            <w:pPr>
              <w:spacing w:line="276" w:lineRule="auto"/>
            </w:pPr>
            <w:r>
              <w:t xml:space="preserve">Organisatie van professionele stages binnen een wettelijk kader, waarbij </w:t>
            </w:r>
            <w:proofErr w:type="spellStart"/>
            <w:r>
              <w:t>mediarte</w:t>
            </w:r>
            <w:proofErr w:type="spellEnd"/>
            <w:r>
              <w:t xml:space="preserve"> instaat voor de begeleiding van de stagiair en waakt over de inh</w:t>
            </w:r>
            <w:r w:rsidR="003230D3">
              <w:t xml:space="preserve">oud en kwaliteit van de stage. </w:t>
            </w:r>
            <w:proofErr w:type="spellStart"/>
            <w:r w:rsidR="003230D3">
              <w:t>M</w:t>
            </w:r>
            <w:r>
              <w:t>ediarte</w:t>
            </w:r>
            <w:proofErr w:type="spellEnd"/>
            <w:r>
              <w:t xml:space="preserve"> maakt de koppeling tussen de persoonlijke doelstellingen van de stagiair en het aanbod van de stagegever. De </w:t>
            </w:r>
            <w:r>
              <w:rPr>
                <w:highlight w:val="white"/>
              </w:rPr>
              <w:t>focus ligt op optimale begeleiding van deze stage- en werkgevers ten gunste van de jongeren.</w:t>
            </w:r>
            <w:r>
              <w:rPr>
                <w:highlight w:val="white"/>
              </w:rPr>
              <w:br/>
            </w:r>
          </w:p>
          <w:p w:rsidR="008E387D" w:rsidRDefault="00D63AC4">
            <w:pPr>
              <w:spacing w:line="276" w:lineRule="auto"/>
            </w:pPr>
            <w:r>
              <w:t xml:space="preserve">Aanmaak Startersgids en Starters </w:t>
            </w:r>
            <w:proofErr w:type="spellStart"/>
            <w:r>
              <w:t>Toolbox</w:t>
            </w:r>
            <w:proofErr w:type="spellEnd"/>
          </w:p>
          <w:p w:rsidR="008E387D" w:rsidRDefault="008E387D"/>
        </w:tc>
        <w:tc>
          <w:tcPr>
            <w:tcW w:w="1560" w:type="dxa"/>
          </w:tcPr>
          <w:p w:rsidR="008E387D" w:rsidRDefault="00D63AC4">
            <w:r>
              <w:t>VDAB-FOREM-ACTIRIS: communicatie van het project / verspreiding van stageplaatsen</w:t>
            </w:r>
          </w:p>
        </w:tc>
        <w:tc>
          <w:tcPr>
            <w:tcW w:w="1770" w:type="dxa"/>
          </w:tcPr>
          <w:p w:rsidR="008E387D" w:rsidRDefault="00D63AC4">
            <w:r>
              <w:t>niet-ui</w:t>
            </w:r>
            <w:r w:rsidR="003230D3">
              <w:t>t</w:t>
            </w:r>
            <w:r>
              <w:t>kerings</w:t>
            </w:r>
            <w:r w:rsidR="003230D3">
              <w:t>-</w:t>
            </w:r>
            <w:r>
              <w:t>gerechtigde werkzoekenden jonger dan 26 jaar.</w:t>
            </w:r>
          </w:p>
        </w:tc>
        <w:tc>
          <w:tcPr>
            <w:tcW w:w="1425" w:type="dxa"/>
          </w:tcPr>
          <w:p w:rsidR="008E387D" w:rsidRDefault="00D63AC4">
            <w:r>
              <w:t>Onbepaald</w:t>
            </w:r>
          </w:p>
        </w:tc>
        <w:tc>
          <w:tcPr>
            <w:tcW w:w="2595" w:type="dxa"/>
          </w:tcPr>
          <w:p w:rsidR="008E387D" w:rsidRDefault="00D63AC4">
            <w:pPr>
              <w:spacing w:before="200" w:after="240" w:line="300" w:lineRule="auto"/>
            </w:pPr>
            <w:r>
              <w:t>Personee</w:t>
            </w:r>
            <w:r w:rsidR="00AB17C9">
              <w:t>lskost: € </w:t>
            </w:r>
            <w:r>
              <w:t>85.517,55</w:t>
            </w:r>
          </w:p>
          <w:p w:rsidR="008E387D" w:rsidRDefault="00AB17C9">
            <w:pPr>
              <w:spacing w:before="200" w:after="240" w:line="300" w:lineRule="auto"/>
            </w:pPr>
            <w:r>
              <w:t>Overheadkost: € </w:t>
            </w:r>
            <w:r w:rsidR="00D63AC4">
              <w:t>19.422,63</w:t>
            </w:r>
            <w:r w:rsidR="00D63AC4">
              <w:br/>
              <w:t>(o.a. huur kantoor, verplaatsingskosten, kantoormateriaal,</w:t>
            </w:r>
            <w:r w:rsidR="00D63AC4">
              <w:br/>
              <w:t>afschrijvingen, …)</w:t>
            </w:r>
          </w:p>
          <w:p w:rsidR="008E387D" w:rsidRDefault="00EE309A">
            <w:pPr>
              <w:spacing w:before="200" w:after="240" w:line="300" w:lineRule="auto"/>
            </w:pPr>
            <w:r>
              <w:t>Projectkost: € 8.692,69</w:t>
            </w:r>
            <w:r w:rsidR="00D63AC4">
              <w:br/>
              <w:t xml:space="preserve">(o.a. aanmaak Startersgids &amp; Starters </w:t>
            </w:r>
            <w:proofErr w:type="spellStart"/>
            <w:r w:rsidR="00D63AC4">
              <w:t>Toolbox</w:t>
            </w:r>
            <w:proofErr w:type="spellEnd"/>
            <w:r w:rsidR="00D63AC4">
              <w:t xml:space="preserve"> en</w:t>
            </w:r>
            <w:r w:rsidR="00D63AC4">
              <w:br/>
              <w:t>promotie- en communicatiekosten)</w:t>
            </w:r>
          </w:p>
        </w:tc>
        <w:tc>
          <w:tcPr>
            <w:tcW w:w="2520" w:type="dxa"/>
          </w:tcPr>
          <w:p w:rsidR="008E387D" w:rsidRDefault="00AB17C9">
            <w:pPr>
              <w:tabs>
                <w:tab w:val="left" w:pos="2542"/>
              </w:tabs>
              <w:spacing w:before="200" w:after="240" w:line="300" w:lineRule="auto"/>
              <w:ind w:right="403"/>
            </w:pPr>
            <w:r>
              <w:t>Personeelskost: € </w:t>
            </w:r>
            <w:r w:rsidR="00D63AC4">
              <w:t>47.232,45</w:t>
            </w:r>
          </w:p>
          <w:p w:rsidR="008E387D" w:rsidRDefault="00AB17C9">
            <w:pPr>
              <w:spacing w:before="200" w:after="240" w:line="300" w:lineRule="auto"/>
            </w:pPr>
            <w:r>
              <w:t>Overheadkost: € </w:t>
            </w:r>
            <w:r w:rsidR="00D63AC4">
              <w:t>10.727,37</w:t>
            </w:r>
          </w:p>
          <w:p w:rsidR="008E387D" w:rsidRDefault="008E387D">
            <w:pPr>
              <w:spacing w:before="200" w:after="240" w:line="300" w:lineRule="auto"/>
            </w:pPr>
          </w:p>
          <w:p w:rsidR="008E387D" w:rsidRDefault="008E387D">
            <w:pPr>
              <w:spacing w:before="200" w:after="240" w:line="300" w:lineRule="auto"/>
            </w:pPr>
          </w:p>
          <w:p w:rsidR="008E387D" w:rsidRDefault="00EE309A">
            <w:pPr>
              <w:spacing w:before="200" w:after="240" w:line="300" w:lineRule="auto"/>
            </w:pPr>
            <w:r>
              <w:t>Projectkost: € 4.807,31</w:t>
            </w:r>
            <w:bookmarkStart w:id="0" w:name="_GoBack"/>
            <w:bookmarkEnd w:id="0"/>
            <w:r w:rsidR="00D63AC4">
              <w:br/>
            </w:r>
          </w:p>
        </w:tc>
      </w:tr>
      <w:tr w:rsidR="008E387D" w:rsidTr="003230D3">
        <w:trPr>
          <w:trHeight w:val="700"/>
        </w:trPr>
        <w:tc>
          <w:tcPr>
            <w:tcW w:w="9315" w:type="dxa"/>
            <w:gridSpan w:val="5"/>
            <w:tcBorders>
              <w:left w:val="nil"/>
              <w:bottom w:val="nil"/>
            </w:tcBorders>
          </w:tcPr>
          <w:p w:rsidR="008E387D" w:rsidRDefault="00D63AC4">
            <w:pPr>
              <w:jc w:val="right"/>
            </w:pPr>
            <w:r>
              <w:t>Totaal</w:t>
            </w:r>
          </w:p>
        </w:tc>
        <w:tc>
          <w:tcPr>
            <w:tcW w:w="1425" w:type="dxa"/>
          </w:tcPr>
          <w:p w:rsidR="008E387D" w:rsidRDefault="008E387D"/>
        </w:tc>
        <w:tc>
          <w:tcPr>
            <w:tcW w:w="2595" w:type="dxa"/>
          </w:tcPr>
          <w:p w:rsidR="008E387D" w:rsidRDefault="00D63AC4">
            <w:r>
              <w:t>€ 113.632,87</w:t>
            </w:r>
          </w:p>
        </w:tc>
        <w:tc>
          <w:tcPr>
            <w:tcW w:w="2520" w:type="dxa"/>
          </w:tcPr>
          <w:p w:rsidR="008E387D" w:rsidRDefault="00D63AC4">
            <w:r>
              <w:t>€ 62.767,13</w:t>
            </w:r>
          </w:p>
        </w:tc>
      </w:tr>
    </w:tbl>
    <w:p w:rsidR="008E387D" w:rsidRDefault="008E387D" w:rsidP="003230D3">
      <w:bookmarkStart w:id="1" w:name="_gjdgxs" w:colFirst="0" w:colLast="0"/>
      <w:bookmarkEnd w:id="1"/>
    </w:p>
    <w:sectPr w:rsidR="008E387D" w:rsidSect="003230D3">
      <w:pgSz w:w="16838" w:h="11906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387D"/>
    <w:rsid w:val="003230D3"/>
    <w:rsid w:val="008E387D"/>
    <w:rsid w:val="00AB17C9"/>
    <w:rsid w:val="00D63AC4"/>
    <w:rsid w:val="00E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Social Overleeg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5</cp:revision>
  <dcterms:created xsi:type="dcterms:W3CDTF">2018-02-15T10:44:00Z</dcterms:created>
  <dcterms:modified xsi:type="dcterms:W3CDTF">2018-02-16T15:17:00Z</dcterms:modified>
</cp:coreProperties>
</file>