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D833F6">
      <w:pPr>
        <w:rPr>
          <w:u w:val="single"/>
        </w:rPr>
      </w:pPr>
      <w:r>
        <w:rPr>
          <w:u w:val="single"/>
        </w:rPr>
        <w:t xml:space="preserve">PC 124: </w:t>
      </w:r>
      <w:r w:rsidRPr="00D833F6">
        <w:rPr>
          <w:u w:val="single"/>
        </w:rPr>
        <w:t>“Een kwalitatieve ondersteuning van trajecten duaal leren/</w:t>
      </w:r>
      <w:proofErr w:type="spellStart"/>
      <w:r w:rsidRPr="00D833F6">
        <w:rPr>
          <w:u w:val="single"/>
        </w:rPr>
        <w:t>alternance</w:t>
      </w:r>
      <w:proofErr w:type="spellEnd"/>
      <w:r w:rsidRPr="00D833F6">
        <w:rPr>
          <w:u w:val="single"/>
        </w:rPr>
        <w:t xml:space="preserve"> en een duurzame toeleiding naar werk in de bouwsector”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962"/>
        <w:gridCol w:w="1984"/>
        <w:gridCol w:w="1701"/>
        <w:gridCol w:w="1985"/>
        <w:gridCol w:w="1701"/>
        <w:gridCol w:w="1161"/>
      </w:tblGrid>
      <w:tr w:rsidR="009C52A2" w:rsidTr="002C5928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C707A" w:rsidRDefault="002C707A" w:rsidP="002C707A"/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Benaming van de actie</w:t>
            </w:r>
          </w:p>
        </w:tc>
        <w:tc>
          <w:tcPr>
            <w:tcW w:w="4962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Na te streven doelstellingen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Doelgroep</w:t>
            </w:r>
          </w:p>
        </w:tc>
        <w:tc>
          <w:tcPr>
            <w:tcW w:w="1985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Beoogd aantal deelnemers</w:t>
            </w:r>
          </w:p>
        </w:tc>
        <w:tc>
          <w:tcPr>
            <w:tcW w:w="2862" w:type="dxa"/>
            <w:gridSpan w:val="2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Kost van de actie</w:t>
            </w:r>
          </w:p>
        </w:tc>
      </w:tr>
      <w:tr w:rsidR="009C52A2" w:rsidTr="002C5928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2C707A" w:rsidRDefault="002C707A" w:rsidP="002C707A"/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4962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985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Middelen bijkomend project (&lt; RVA)</w:t>
            </w:r>
          </w:p>
        </w:tc>
        <w:tc>
          <w:tcPr>
            <w:tcW w:w="1161" w:type="dxa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Middelen sector</w:t>
            </w:r>
          </w:p>
        </w:tc>
      </w:tr>
      <w:tr w:rsidR="009C52A2" w:rsidTr="002C5928">
        <w:trPr>
          <w:trHeight w:val="1230"/>
        </w:trPr>
        <w:tc>
          <w:tcPr>
            <w:tcW w:w="534" w:type="dxa"/>
          </w:tcPr>
          <w:p w:rsidR="002C707A" w:rsidRDefault="002C707A" w:rsidP="002C707A">
            <w:r>
              <w:t>1</w:t>
            </w:r>
          </w:p>
        </w:tc>
        <w:tc>
          <w:tcPr>
            <w:tcW w:w="1842" w:type="dxa"/>
          </w:tcPr>
          <w:p w:rsidR="002C707A" w:rsidRDefault="00F51351" w:rsidP="002C707A">
            <w:r>
              <w:t>D</w:t>
            </w:r>
            <w:r w:rsidRPr="00672B0A">
              <w:t>uurzame toeleiding naar werk in de bouwsector</w:t>
            </w:r>
          </w:p>
        </w:tc>
        <w:tc>
          <w:tcPr>
            <w:tcW w:w="4962" w:type="dxa"/>
          </w:tcPr>
          <w:p w:rsidR="002C707A" w:rsidRDefault="00F51351" w:rsidP="001926AB">
            <w:r>
              <w:t xml:space="preserve">Het realiseren </w:t>
            </w:r>
            <w:r w:rsidRPr="00F51351">
              <w:t xml:space="preserve">van een sectoraal traject dat de aansluiting tussen basisopleiding en werk </w:t>
            </w:r>
            <w:r>
              <w:t>bevordert</w:t>
            </w:r>
            <w:r w:rsidRPr="00F51351">
              <w:t>. Deze sectorale oriëntering naar werk word</w:t>
            </w:r>
            <w:r>
              <w:t>t uitgevoerd</w:t>
            </w:r>
            <w:r w:rsidRPr="00F51351">
              <w:t xml:space="preserve"> in afstemming met de acties van bestaande Regionale partners, bevoegd voor opleiding, onderwijs en tewerkstelling</w:t>
            </w:r>
            <w:r w:rsidR="002C5928">
              <w:t xml:space="preserve">. Deze doelstelling wordt </w:t>
            </w:r>
            <w:r w:rsidR="001926AB">
              <w:t>bereikt door de inzet van 10 consulenten die de duurzame inschakeling promoten.</w:t>
            </w:r>
          </w:p>
        </w:tc>
        <w:tc>
          <w:tcPr>
            <w:tcW w:w="1984" w:type="dxa"/>
          </w:tcPr>
          <w:p w:rsidR="001926AB" w:rsidRPr="001926AB" w:rsidRDefault="001926AB" w:rsidP="001926AB">
            <w:pPr>
              <w:rPr>
                <w:lang w:val="en-US"/>
              </w:rPr>
            </w:pPr>
            <w:r w:rsidRPr="001926AB">
              <w:rPr>
                <w:lang w:val="en-US"/>
              </w:rPr>
              <w:t xml:space="preserve">Le </w:t>
            </w:r>
            <w:proofErr w:type="spellStart"/>
            <w:r w:rsidRPr="001926AB">
              <w:rPr>
                <w:lang w:val="en-US"/>
              </w:rPr>
              <w:t>Forem</w:t>
            </w:r>
            <w:proofErr w:type="spellEnd"/>
            <w:r w:rsidRPr="001926AB">
              <w:rPr>
                <w:lang w:val="en-US"/>
              </w:rPr>
              <w:t xml:space="preserve">, </w:t>
            </w:r>
          </w:p>
          <w:p w:rsidR="001926AB" w:rsidRPr="001926AB" w:rsidRDefault="001926AB" w:rsidP="001926AB">
            <w:pPr>
              <w:rPr>
                <w:lang w:val="en-US"/>
              </w:rPr>
            </w:pPr>
            <w:r w:rsidRPr="001926AB">
              <w:rPr>
                <w:lang w:val="en-US"/>
              </w:rPr>
              <w:t>GO!,</w:t>
            </w:r>
          </w:p>
          <w:p w:rsidR="001926AB" w:rsidRPr="001926AB" w:rsidRDefault="001926AB" w:rsidP="001926AB">
            <w:pPr>
              <w:rPr>
                <w:lang w:val="en-US"/>
              </w:rPr>
            </w:pPr>
            <w:r w:rsidRPr="001926AB">
              <w:rPr>
                <w:lang w:val="en-US"/>
              </w:rPr>
              <w:t>OVSG,</w:t>
            </w:r>
          </w:p>
          <w:p w:rsidR="001926AB" w:rsidRPr="00C95821" w:rsidRDefault="002C5928" w:rsidP="001926AB">
            <w:pPr>
              <w:rPr>
                <w:lang w:val="en-US"/>
              </w:rPr>
            </w:pPr>
            <w:r w:rsidRPr="00C95821">
              <w:rPr>
                <w:lang w:val="en-US"/>
              </w:rPr>
              <w:t>POV</w:t>
            </w:r>
            <w:r w:rsidR="001926AB" w:rsidRPr="00C95821">
              <w:rPr>
                <w:lang w:val="en-US"/>
              </w:rPr>
              <w:t>,</w:t>
            </w:r>
          </w:p>
          <w:p w:rsidR="001926AB" w:rsidRDefault="001926AB" w:rsidP="001926AB">
            <w:r>
              <w:t>VSKO,</w:t>
            </w:r>
          </w:p>
          <w:p w:rsidR="001926AB" w:rsidRDefault="001926AB" w:rsidP="001926AB">
            <w:r>
              <w:t>VDAB,</w:t>
            </w:r>
          </w:p>
          <w:p w:rsidR="002C707A" w:rsidRDefault="001926AB" w:rsidP="001926AB">
            <w:proofErr w:type="spellStart"/>
            <w:r>
              <w:t>Actiris</w:t>
            </w:r>
            <w:proofErr w:type="spellEnd"/>
            <w:r>
              <w:t>,</w:t>
            </w:r>
          </w:p>
          <w:p w:rsidR="001926AB" w:rsidRDefault="001926AB" w:rsidP="001926AB">
            <w:r>
              <w:t>…</w:t>
            </w:r>
          </w:p>
        </w:tc>
        <w:tc>
          <w:tcPr>
            <w:tcW w:w="1701" w:type="dxa"/>
          </w:tcPr>
          <w:p w:rsidR="002C707A" w:rsidRDefault="001926AB" w:rsidP="002C707A">
            <w:r>
              <w:t>Jongeren in bouwonderwijs,</w:t>
            </w:r>
          </w:p>
          <w:p w:rsidR="001926AB" w:rsidRDefault="001926AB" w:rsidP="002C707A">
            <w:r>
              <w:t>Jongeren in een basisopleiding voor werkzoekenden,</w:t>
            </w:r>
          </w:p>
          <w:p w:rsidR="001926AB" w:rsidRDefault="001926AB" w:rsidP="002C707A">
            <w:r>
              <w:t>Jonge werkzoekenden,</w:t>
            </w:r>
          </w:p>
          <w:p w:rsidR="001926AB" w:rsidRDefault="001926AB" w:rsidP="002C707A">
            <w:r>
              <w:t>…</w:t>
            </w:r>
          </w:p>
        </w:tc>
        <w:tc>
          <w:tcPr>
            <w:tcW w:w="1985" w:type="dxa"/>
          </w:tcPr>
          <w:p w:rsidR="002C707A" w:rsidRDefault="001926AB" w:rsidP="002C707A">
            <w:r>
              <w:t>Er wordt geschat dat er 3.000 jongeren kunnen bereikt worden door middel van de acties van de ingeschakelde consule</w:t>
            </w:r>
            <w:r w:rsidR="009C52A2">
              <w:t>n</w:t>
            </w:r>
            <w:r>
              <w:t>ten.</w:t>
            </w:r>
          </w:p>
        </w:tc>
        <w:tc>
          <w:tcPr>
            <w:tcW w:w="1701" w:type="dxa"/>
          </w:tcPr>
          <w:p w:rsidR="002C707A" w:rsidRDefault="003F41BD" w:rsidP="002C707A">
            <w:r>
              <w:t xml:space="preserve"> € </w:t>
            </w:r>
            <w:bookmarkStart w:id="0" w:name="_GoBack"/>
            <w:bookmarkEnd w:id="0"/>
            <w:r w:rsidR="00F51351" w:rsidRPr="00F51351">
              <w:t>1.382.533,20</w:t>
            </w:r>
          </w:p>
        </w:tc>
        <w:tc>
          <w:tcPr>
            <w:tcW w:w="1161" w:type="dxa"/>
          </w:tcPr>
          <w:p w:rsidR="002C707A" w:rsidRDefault="002C707A" w:rsidP="002C707A"/>
        </w:tc>
      </w:tr>
      <w:tr w:rsidR="009C52A2" w:rsidTr="002C5928">
        <w:trPr>
          <w:trHeight w:val="1701"/>
        </w:trPr>
        <w:tc>
          <w:tcPr>
            <w:tcW w:w="534" w:type="dxa"/>
          </w:tcPr>
          <w:p w:rsidR="002C707A" w:rsidRDefault="002C707A" w:rsidP="002C707A">
            <w:r>
              <w:t>2</w:t>
            </w:r>
          </w:p>
        </w:tc>
        <w:tc>
          <w:tcPr>
            <w:tcW w:w="1842" w:type="dxa"/>
          </w:tcPr>
          <w:p w:rsidR="002C707A" w:rsidRDefault="00F51351" w:rsidP="002C707A">
            <w:r w:rsidRPr="00F51351">
              <w:t>Een kwalitatieve ondersteuning van trajecten duaal leren/</w:t>
            </w:r>
            <w:proofErr w:type="spellStart"/>
            <w:r w:rsidRPr="00F51351">
              <w:t>alternance</w:t>
            </w:r>
            <w:proofErr w:type="spellEnd"/>
          </w:p>
        </w:tc>
        <w:tc>
          <w:tcPr>
            <w:tcW w:w="4962" w:type="dxa"/>
          </w:tcPr>
          <w:p w:rsidR="002C707A" w:rsidRDefault="009C52A2" w:rsidP="002C5928">
            <w:r w:rsidRPr="009C52A2">
              <w:t xml:space="preserve">Complementair aan </w:t>
            </w:r>
            <w:r>
              <w:t xml:space="preserve">het </w:t>
            </w:r>
            <w:r w:rsidRPr="009C52A2">
              <w:t xml:space="preserve">voorgaande luik, richt het </w:t>
            </w:r>
            <w:r>
              <w:t>tweede</w:t>
            </w:r>
            <w:r w:rsidRPr="009C52A2">
              <w:t xml:space="preserve"> luik zich expliciet op jongeren in een stelsel van duaal leren, meer bepaald jongeren die binnen de bouwsector worden opgeleid.</w:t>
            </w:r>
            <w:r>
              <w:t xml:space="preserve"> Dit luik voert mee de wil uit  </w:t>
            </w:r>
            <w:r w:rsidRPr="009C52A2">
              <w:t>van de sociale partners van de bouwsector om duaal leren op te waarderen</w:t>
            </w:r>
            <w:r>
              <w:t xml:space="preserve"> en er een succes van te maken. Het project richt zich op acties die de volgende doelstellingen nastreven:  Promotie van de stelsels van duaal leren; Indijken van de uitval tijdens het leertraject;</w:t>
            </w:r>
            <w:r w:rsidR="002C5928">
              <w:t xml:space="preserve"> </w:t>
            </w:r>
            <w:r>
              <w:t>Maximaliseren van een duurzame doorstroming van de leerling naar de sector; Waken over de kwaliteit en het aanbod van de werkplekken.</w:t>
            </w:r>
          </w:p>
        </w:tc>
        <w:tc>
          <w:tcPr>
            <w:tcW w:w="1984" w:type="dxa"/>
          </w:tcPr>
          <w:p w:rsidR="002C707A" w:rsidRDefault="001926AB" w:rsidP="002C707A">
            <w:r>
              <w:t>IFAPME,</w:t>
            </w:r>
          </w:p>
          <w:p w:rsidR="001926AB" w:rsidRDefault="001926AB" w:rsidP="002C707A">
            <w:proofErr w:type="spellStart"/>
            <w:r>
              <w:t>Syntra</w:t>
            </w:r>
            <w:proofErr w:type="spellEnd"/>
            <w:r>
              <w:t>,</w:t>
            </w:r>
          </w:p>
          <w:p w:rsidR="001926AB" w:rsidRDefault="001926AB" w:rsidP="002C707A">
            <w:r>
              <w:t>IAWM,</w:t>
            </w:r>
          </w:p>
          <w:p w:rsidR="001926AB" w:rsidRDefault="001926AB" w:rsidP="002C707A">
            <w:r>
              <w:t>EFP,</w:t>
            </w:r>
          </w:p>
          <w:p w:rsidR="001926AB" w:rsidRDefault="001926AB" w:rsidP="002C707A">
            <w:r>
              <w:t>…</w:t>
            </w:r>
          </w:p>
        </w:tc>
        <w:tc>
          <w:tcPr>
            <w:tcW w:w="1701" w:type="dxa"/>
          </w:tcPr>
          <w:p w:rsidR="002C707A" w:rsidRDefault="00D833F6" w:rsidP="002C707A">
            <w:r>
              <w:t>J</w:t>
            </w:r>
            <w:r w:rsidRPr="00D833F6">
              <w:t>ongeren in een stelsel van duaal leren, meer bepaald jongeren die binnen de bouwsector worden opgeleid</w:t>
            </w:r>
          </w:p>
        </w:tc>
        <w:tc>
          <w:tcPr>
            <w:tcW w:w="1985" w:type="dxa"/>
          </w:tcPr>
          <w:p w:rsidR="002C707A" w:rsidRDefault="001926AB" w:rsidP="002C707A">
            <w:r>
              <w:t>Er wordt geschat dat er in totaal +/- 2</w:t>
            </w:r>
            <w:r w:rsidR="00434330">
              <w:t>.</w:t>
            </w:r>
            <w:r>
              <w:t>000 jongeren in een stelsel van duaal leren binnen de bouwsector actief zijn.</w:t>
            </w:r>
          </w:p>
        </w:tc>
        <w:tc>
          <w:tcPr>
            <w:tcW w:w="1701" w:type="dxa"/>
          </w:tcPr>
          <w:p w:rsidR="002C707A" w:rsidRDefault="003F41BD" w:rsidP="002C707A">
            <w:r>
              <w:t xml:space="preserve"> € </w:t>
            </w:r>
            <w:r w:rsidR="00F51351" w:rsidRPr="00F51351">
              <w:t>1.382.533,20</w:t>
            </w:r>
          </w:p>
        </w:tc>
        <w:tc>
          <w:tcPr>
            <w:tcW w:w="1161" w:type="dxa"/>
          </w:tcPr>
          <w:p w:rsidR="002C707A" w:rsidRDefault="002C707A" w:rsidP="002C707A"/>
        </w:tc>
      </w:tr>
      <w:tr w:rsidR="002C707A" w:rsidTr="001471D5">
        <w:trPr>
          <w:trHeight w:val="707"/>
        </w:trPr>
        <w:tc>
          <w:tcPr>
            <w:tcW w:w="11023" w:type="dxa"/>
            <w:gridSpan w:val="5"/>
            <w:tcBorders>
              <w:left w:val="nil"/>
              <w:bottom w:val="nil"/>
            </w:tcBorders>
          </w:tcPr>
          <w:p w:rsidR="002C707A" w:rsidRPr="004A0B40" w:rsidRDefault="002C707A" w:rsidP="002C707A">
            <w:pPr>
              <w:jc w:val="right"/>
              <w:rPr>
                <w:sz w:val="30"/>
                <w:szCs w:val="30"/>
              </w:rPr>
            </w:pPr>
            <w:r w:rsidRPr="004A0B40">
              <w:rPr>
                <w:sz w:val="30"/>
                <w:szCs w:val="30"/>
              </w:rPr>
              <w:t>Totaal</w:t>
            </w:r>
          </w:p>
        </w:tc>
        <w:tc>
          <w:tcPr>
            <w:tcW w:w="1985" w:type="dxa"/>
          </w:tcPr>
          <w:p w:rsidR="002C707A" w:rsidRDefault="001926AB" w:rsidP="002C707A">
            <w:r>
              <w:t>5</w:t>
            </w:r>
            <w:r w:rsidR="009C52A2">
              <w:t>.</w:t>
            </w:r>
            <w:r>
              <w:t>000</w:t>
            </w:r>
          </w:p>
        </w:tc>
        <w:tc>
          <w:tcPr>
            <w:tcW w:w="1701" w:type="dxa"/>
          </w:tcPr>
          <w:p w:rsidR="002C707A" w:rsidRDefault="003F41BD" w:rsidP="002C707A">
            <w:r>
              <w:t xml:space="preserve">€ </w:t>
            </w:r>
            <w:r w:rsidR="00F51351" w:rsidRPr="00F51351">
              <w:t>2.765.066,40</w:t>
            </w:r>
          </w:p>
        </w:tc>
        <w:tc>
          <w:tcPr>
            <w:tcW w:w="1161" w:type="dxa"/>
          </w:tcPr>
          <w:p w:rsidR="002C707A" w:rsidRDefault="002C707A" w:rsidP="002C707A"/>
        </w:tc>
      </w:tr>
    </w:tbl>
    <w:p w:rsidR="009C52A2" w:rsidRPr="00575012" w:rsidRDefault="009C52A2">
      <w:pPr>
        <w:rPr>
          <w:lang w:val="fr-BE"/>
        </w:rPr>
      </w:pPr>
    </w:p>
    <w:sectPr w:rsidR="009C52A2" w:rsidRPr="00575012" w:rsidSect="004A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142309"/>
    <w:rsid w:val="001471D5"/>
    <w:rsid w:val="0018644B"/>
    <w:rsid w:val="001926AB"/>
    <w:rsid w:val="002C5928"/>
    <w:rsid w:val="002C707A"/>
    <w:rsid w:val="003B3BEA"/>
    <w:rsid w:val="003F41BD"/>
    <w:rsid w:val="00434330"/>
    <w:rsid w:val="004A0B40"/>
    <w:rsid w:val="00575012"/>
    <w:rsid w:val="007A4849"/>
    <w:rsid w:val="009C52A2"/>
    <w:rsid w:val="00C95821"/>
    <w:rsid w:val="00D833F6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9</cp:revision>
  <dcterms:created xsi:type="dcterms:W3CDTF">2018-01-30T12:47:00Z</dcterms:created>
  <dcterms:modified xsi:type="dcterms:W3CDTF">2018-02-05T14:36:00Z</dcterms:modified>
</cp:coreProperties>
</file>