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12" w:rsidRPr="005E5832" w:rsidRDefault="00575012">
      <w:pPr>
        <w:rPr>
          <w:sz w:val="20"/>
          <w:szCs w:val="20"/>
          <w:u w:val="single"/>
        </w:rPr>
      </w:pPr>
    </w:p>
    <w:p w:rsidR="00575012" w:rsidRPr="005E5832" w:rsidRDefault="00192856">
      <w:pPr>
        <w:rPr>
          <w:sz w:val="20"/>
          <w:szCs w:val="20"/>
          <w:u w:val="single"/>
        </w:rPr>
      </w:pPr>
      <w:r>
        <w:rPr>
          <w:sz w:val="20"/>
          <w:szCs w:val="20"/>
          <w:u w:val="single"/>
        </w:rPr>
        <w:t xml:space="preserve">PC 112 / </w:t>
      </w:r>
      <w:proofErr w:type="spellStart"/>
      <w:r>
        <w:rPr>
          <w:sz w:val="20"/>
          <w:szCs w:val="20"/>
          <w:u w:val="single"/>
        </w:rPr>
        <w:t>PsC</w:t>
      </w:r>
      <w:proofErr w:type="spellEnd"/>
      <w:r>
        <w:rPr>
          <w:sz w:val="20"/>
          <w:szCs w:val="20"/>
          <w:u w:val="single"/>
        </w:rPr>
        <w:t xml:space="preserve"> 149.02: </w:t>
      </w:r>
      <w:bookmarkStart w:id="0" w:name="_GoBack"/>
      <w:bookmarkEnd w:id="0"/>
      <w:r w:rsidR="004A0B40" w:rsidRPr="005E5832">
        <w:rPr>
          <w:sz w:val="20"/>
          <w:szCs w:val="20"/>
          <w:u w:val="single"/>
        </w:rPr>
        <w:t>Bijkomend project voor jongeren 2018-2019</w:t>
      </w:r>
    </w:p>
    <w:tbl>
      <w:tblPr>
        <w:tblStyle w:val="Tabelraster"/>
        <w:tblpPr w:leftFromText="141" w:rightFromText="141" w:vertAnchor="page" w:horzAnchor="margin" w:tblpXSpec="center" w:tblpY="2719"/>
        <w:tblW w:w="15870" w:type="dxa"/>
        <w:tblLayout w:type="fixed"/>
        <w:tblLook w:val="04A0" w:firstRow="1" w:lastRow="0" w:firstColumn="1" w:lastColumn="0" w:noHBand="0" w:noVBand="1"/>
      </w:tblPr>
      <w:tblGrid>
        <w:gridCol w:w="534"/>
        <w:gridCol w:w="1701"/>
        <w:gridCol w:w="5386"/>
        <w:gridCol w:w="1559"/>
        <w:gridCol w:w="2268"/>
        <w:gridCol w:w="1276"/>
        <w:gridCol w:w="1701"/>
        <w:gridCol w:w="1445"/>
      </w:tblGrid>
      <w:tr w:rsidR="005E5832" w:rsidRPr="005E5832" w:rsidTr="005E5832">
        <w:trPr>
          <w:trHeight w:val="338"/>
        </w:trPr>
        <w:tc>
          <w:tcPr>
            <w:tcW w:w="534" w:type="dxa"/>
            <w:vMerge w:val="restart"/>
            <w:tcBorders>
              <w:top w:val="nil"/>
              <w:left w:val="nil"/>
            </w:tcBorders>
          </w:tcPr>
          <w:p w:rsidR="002C707A" w:rsidRPr="005E5832" w:rsidRDefault="002C707A" w:rsidP="002C707A">
            <w:pPr>
              <w:rPr>
                <w:sz w:val="20"/>
                <w:szCs w:val="20"/>
              </w:rPr>
            </w:pPr>
          </w:p>
        </w:tc>
        <w:tc>
          <w:tcPr>
            <w:tcW w:w="1701" w:type="dxa"/>
            <w:vMerge w:val="restart"/>
            <w:shd w:val="clear" w:color="auto" w:fill="B8CCE4" w:themeFill="accent1" w:themeFillTint="66"/>
            <w:vAlign w:val="center"/>
          </w:tcPr>
          <w:p w:rsidR="002C707A" w:rsidRPr="005E5832" w:rsidRDefault="002C707A" w:rsidP="002C707A">
            <w:pPr>
              <w:jc w:val="center"/>
              <w:rPr>
                <w:sz w:val="20"/>
                <w:szCs w:val="20"/>
              </w:rPr>
            </w:pPr>
            <w:r w:rsidRPr="005E5832">
              <w:rPr>
                <w:sz w:val="20"/>
                <w:szCs w:val="20"/>
              </w:rPr>
              <w:t>Benaming van de actie</w:t>
            </w:r>
          </w:p>
        </w:tc>
        <w:tc>
          <w:tcPr>
            <w:tcW w:w="5386" w:type="dxa"/>
            <w:vMerge w:val="restart"/>
            <w:shd w:val="clear" w:color="auto" w:fill="B8CCE4" w:themeFill="accent1" w:themeFillTint="66"/>
            <w:vAlign w:val="center"/>
          </w:tcPr>
          <w:p w:rsidR="002C707A" w:rsidRPr="005E5832" w:rsidRDefault="002C707A" w:rsidP="002C707A">
            <w:pPr>
              <w:jc w:val="center"/>
              <w:rPr>
                <w:sz w:val="20"/>
                <w:szCs w:val="20"/>
              </w:rPr>
            </w:pPr>
            <w:r w:rsidRPr="005E5832">
              <w:rPr>
                <w:sz w:val="20"/>
                <w:szCs w:val="20"/>
              </w:rPr>
              <w:t>Na te streven doelstellingen</w:t>
            </w:r>
          </w:p>
        </w:tc>
        <w:tc>
          <w:tcPr>
            <w:tcW w:w="1559" w:type="dxa"/>
            <w:vMerge w:val="restart"/>
            <w:shd w:val="clear" w:color="auto" w:fill="B8CCE4" w:themeFill="accent1" w:themeFillTint="66"/>
            <w:vAlign w:val="center"/>
          </w:tcPr>
          <w:p w:rsidR="002C707A" w:rsidRPr="005E5832" w:rsidRDefault="002C707A" w:rsidP="002C707A">
            <w:pPr>
              <w:jc w:val="center"/>
              <w:rPr>
                <w:sz w:val="20"/>
                <w:szCs w:val="20"/>
              </w:rPr>
            </w:pPr>
            <w:r w:rsidRPr="005E5832">
              <w:rPr>
                <w:sz w:val="20"/>
                <w:szCs w:val="20"/>
              </w:rPr>
              <w:t>Samenwerking(en) met… (andere organisaties)</w:t>
            </w:r>
          </w:p>
        </w:tc>
        <w:tc>
          <w:tcPr>
            <w:tcW w:w="2268" w:type="dxa"/>
            <w:vMerge w:val="restart"/>
            <w:shd w:val="clear" w:color="auto" w:fill="B8CCE4" w:themeFill="accent1" w:themeFillTint="66"/>
            <w:vAlign w:val="center"/>
          </w:tcPr>
          <w:p w:rsidR="002C707A" w:rsidRPr="005E5832" w:rsidRDefault="002C707A" w:rsidP="002C707A">
            <w:pPr>
              <w:jc w:val="center"/>
              <w:rPr>
                <w:sz w:val="20"/>
                <w:szCs w:val="20"/>
              </w:rPr>
            </w:pPr>
            <w:r w:rsidRPr="005E5832">
              <w:rPr>
                <w:sz w:val="20"/>
                <w:szCs w:val="20"/>
              </w:rPr>
              <w:t>Doelgroep</w:t>
            </w:r>
          </w:p>
        </w:tc>
        <w:tc>
          <w:tcPr>
            <w:tcW w:w="1276" w:type="dxa"/>
            <w:vMerge w:val="restart"/>
            <w:shd w:val="clear" w:color="auto" w:fill="B8CCE4" w:themeFill="accent1" w:themeFillTint="66"/>
            <w:vAlign w:val="center"/>
          </w:tcPr>
          <w:p w:rsidR="002C707A" w:rsidRPr="005E5832" w:rsidRDefault="002C707A" w:rsidP="002C707A">
            <w:pPr>
              <w:jc w:val="center"/>
              <w:rPr>
                <w:sz w:val="20"/>
                <w:szCs w:val="20"/>
              </w:rPr>
            </w:pPr>
            <w:r w:rsidRPr="005E5832">
              <w:rPr>
                <w:sz w:val="20"/>
                <w:szCs w:val="20"/>
              </w:rPr>
              <w:t>Beoogd aantal deelnemers</w:t>
            </w:r>
          </w:p>
        </w:tc>
        <w:tc>
          <w:tcPr>
            <w:tcW w:w="3146" w:type="dxa"/>
            <w:gridSpan w:val="2"/>
            <w:shd w:val="clear" w:color="auto" w:fill="B8CCE4" w:themeFill="accent1" w:themeFillTint="66"/>
            <w:vAlign w:val="center"/>
          </w:tcPr>
          <w:p w:rsidR="002C707A" w:rsidRPr="005E5832" w:rsidRDefault="002C707A" w:rsidP="002C707A">
            <w:pPr>
              <w:jc w:val="center"/>
              <w:rPr>
                <w:sz w:val="20"/>
                <w:szCs w:val="20"/>
              </w:rPr>
            </w:pPr>
            <w:r w:rsidRPr="005E5832">
              <w:rPr>
                <w:sz w:val="20"/>
                <w:szCs w:val="20"/>
              </w:rPr>
              <w:t>Kost van de actie</w:t>
            </w:r>
          </w:p>
        </w:tc>
      </w:tr>
      <w:tr w:rsidR="005E5832" w:rsidRPr="005E5832" w:rsidTr="005E5832">
        <w:trPr>
          <w:trHeight w:val="338"/>
        </w:trPr>
        <w:tc>
          <w:tcPr>
            <w:tcW w:w="534" w:type="dxa"/>
            <w:vMerge/>
            <w:tcBorders>
              <w:left w:val="nil"/>
            </w:tcBorders>
          </w:tcPr>
          <w:p w:rsidR="002C707A" w:rsidRPr="005E5832" w:rsidRDefault="002C707A" w:rsidP="002C707A">
            <w:pPr>
              <w:rPr>
                <w:sz w:val="20"/>
                <w:szCs w:val="20"/>
              </w:rPr>
            </w:pPr>
          </w:p>
        </w:tc>
        <w:tc>
          <w:tcPr>
            <w:tcW w:w="1701" w:type="dxa"/>
            <w:vMerge/>
            <w:shd w:val="clear" w:color="auto" w:fill="B8CCE4" w:themeFill="accent1" w:themeFillTint="66"/>
            <w:vAlign w:val="center"/>
          </w:tcPr>
          <w:p w:rsidR="002C707A" w:rsidRPr="005E5832" w:rsidRDefault="002C707A" w:rsidP="002C707A">
            <w:pPr>
              <w:jc w:val="center"/>
              <w:rPr>
                <w:sz w:val="20"/>
                <w:szCs w:val="20"/>
              </w:rPr>
            </w:pPr>
          </w:p>
        </w:tc>
        <w:tc>
          <w:tcPr>
            <w:tcW w:w="5386" w:type="dxa"/>
            <w:vMerge/>
            <w:shd w:val="clear" w:color="auto" w:fill="B8CCE4" w:themeFill="accent1" w:themeFillTint="66"/>
            <w:vAlign w:val="center"/>
          </w:tcPr>
          <w:p w:rsidR="002C707A" w:rsidRPr="005E5832" w:rsidRDefault="002C707A" w:rsidP="002C707A">
            <w:pPr>
              <w:jc w:val="center"/>
              <w:rPr>
                <w:sz w:val="20"/>
                <w:szCs w:val="20"/>
              </w:rPr>
            </w:pPr>
          </w:p>
        </w:tc>
        <w:tc>
          <w:tcPr>
            <w:tcW w:w="1559" w:type="dxa"/>
            <w:vMerge/>
            <w:shd w:val="clear" w:color="auto" w:fill="B8CCE4" w:themeFill="accent1" w:themeFillTint="66"/>
            <w:vAlign w:val="center"/>
          </w:tcPr>
          <w:p w:rsidR="002C707A" w:rsidRPr="005E5832" w:rsidRDefault="002C707A" w:rsidP="002C707A">
            <w:pPr>
              <w:jc w:val="center"/>
              <w:rPr>
                <w:sz w:val="20"/>
                <w:szCs w:val="20"/>
              </w:rPr>
            </w:pPr>
          </w:p>
        </w:tc>
        <w:tc>
          <w:tcPr>
            <w:tcW w:w="2268" w:type="dxa"/>
            <w:vMerge/>
            <w:shd w:val="clear" w:color="auto" w:fill="B8CCE4" w:themeFill="accent1" w:themeFillTint="66"/>
            <w:vAlign w:val="center"/>
          </w:tcPr>
          <w:p w:rsidR="002C707A" w:rsidRPr="005E5832" w:rsidRDefault="002C707A" w:rsidP="002C707A">
            <w:pPr>
              <w:jc w:val="center"/>
              <w:rPr>
                <w:sz w:val="20"/>
                <w:szCs w:val="20"/>
              </w:rPr>
            </w:pPr>
          </w:p>
        </w:tc>
        <w:tc>
          <w:tcPr>
            <w:tcW w:w="1276" w:type="dxa"/>
            <w:vMerge/>
            <w:shd w:val="clear" w:color="auto" w:fill="B8CCE4" w:themeFill="accent1" w:themeFillTint="66"/>
            <w:vAlign w:val="center"/>
          </w:tcPr>
          <w:p w:rsidR="002C707A" w:rsidRPr="005E5832" w:rsidRDefault="002C707A" w:rsidP="002C707A">
            <w:pPr>
              <w:jc w:val="center"/>
              <w:rPr>
                <w:sz w:val="20"/>
                <w:szCs w:val="20"/>
              </w:rPr>
            </w:pPr>
          </w:p>
        </w:tc>
        <w:tc>
          <w:tcPr>
            <w:tcW w:w="1701" w:type="dxa"/>
            <w:shd w:val="clear" w:color="auto" w:fill="B8CCE4" w:themeFill="accent1" w:themeFillTint="66"/>
            <w:vAlign w:val="center"/>
          </w:tcPr>
          <w:p w:rsidR="002C707A" w:rsidRPr="005E5832" w:rsidRDefault="002C707A" w:rsidP="002C707A">
            <w:pPr>
              <w:jc w:val="center"/>
              <w:rPr>
                <w:sz w:val="20"/>
                <w:szCs w:val="20"/>
              </w:rPr>
            </w:pPr>
            <w:r w:rsidRPr="005E5832">
              <w:rPr>
                <w:sz w:val="20"/>
                <w:szCs w:val="20"/>
              </w:rPr>
              <w:t>Middelen bijkomend project (&lt; RVA)</w:t>
            </w:r>
          </w:p>
        </w:tc>
        <w:tc>
          <w:tcPr>
            <w:tcW w:w="1445" w:type="dxa"/>
            <w:shd w:val="clear" w:color="auto" w:fill="B8CCE4" w:themeFill="accent1" w:themeFillTint="66"/>
            <w:vAlign w:val="center"/>
          </w:tcPr>
          <w:p w:rsidR="002C707A" w:rsidRPr="005E5832" w:rsidRDefault="002C707A" w:rsidP="002C707A">
            <w:pPr>
              <w:jc w:val="center"/>
              <w:rPr>
                <w:sz w:val="20"/>
                <w:szCs w:val="20"/>
              </w:rPr>
            </w:pPr>
            <w:r w:rsidRPr="005E5832">
              <w:rPr>
                <w:sz w:val="20"/>
                <w:szCs w:val="20"/>
              </w:rPr>
              <w:t>Middelen sector</w:t>
            </w:r>
          </w:p>
        </w:tc>
      </w:tr>
      <w:tr w:rsidR="005E5832" w:rsidRPr="005E5832" w:rsidTr="005E5832">
        <w:trPr>
          <w:trHeight w:val="1230"/>
        </w:trPr>
        <w:tc>
          <w:tcPr>
            <w:tcW w:w="534" w:type="dxa"/>
          </w:tcPr>
          <w:p w:rsidR="002C707A" w:rsidRPr="005E5832" w:rsidRDefault="002C707A" w:rsidP="002C707A">
            <w:pPr>
              <w:rPr>
                <w:sz w:val="20"/>
                <w:szCs w:val="20"/>
              </w:rPr>
            </w:pPr>
            <w:r w:rsidRPr="005E5832">
              <w:rPr>
                <w:sz w:val="20"/>
                <w:szCs w:val="20"/>
              </w:rPr>
              <w:t>1</w:t>
            </w:r>
          </w:p>
        </w:tc>
        <w:tc>
          <w:tcPr>
            <w:tcW w:w="1701" w:type="dxa"/>
          </w:tcPr>
          <w:p w:rsidR="002C707A" w:rsidRPr="005E5832" w:rsidRDefault="006B7BDA" w:rsidP="002C707A">
            <w:pPr>
              <w:rPr>
                <w:sz w:val="20"/>
                <w:szCs w:val="20"/>
              </w:rPr>
            </w:pPr>
            <w:r w:rsidRPr="005E5832">
              <w:rPr>
                <w:sz w:val="20"/>
                <w:szCs w:val="20"/>
              </w:rPr>
              <w:t>Project "Praktijkopleidingen voor jongeren – koetswerk"</w:t>
            </w:r>
          </w:p>
        </w:tc>
        <w:tc>
          <w:tcPr>
            <w:tcW w:w="5386" w:type="dxa"/>
          </w:tcPr>
          <w:p w:rsidR="006B7BDA" w:rsidRPr="005E5832" w:rsidRDefault="006B7BDA" w:rsidP="006B7BDA">
            <w:pPr>
              <w:rPr>
                <w:sz w:val="20"/>
                <w:szCs w:val="20"/>
              </w:rPr>
            </w:pPr>
            <w:r w:rsidRPr="005E5832">
              <w:rPr>
                <w:sz w:val="20"/>
                <w:szCs w:val="20"/>
              </w:rPr>
              <w:t xml:space="preserve">In het kader van onze samenwerkingen met instellingen voor instroomopleidingen en het onderwijs hebben we vastgesteld dat jongeren aan het einde van hun koetswerkopleiding moeilijkheden ervaren om een baan te vinden omdat ze te weinig beroepservaring op de werkvloer hebben. Dit project beoogt dus het verwerven van de vereiste competenties om een baan te vinden. Er zullen dus twee verschillende opleidingstrajecten ontwikkeld en georganiseerd worden: </w:t>
            </w:r>
          </w:p>
          <w:p w:rsidR="006B7BDA" w:rsidRPr="005E5832" w:rsidRDefault="006B7BDA" w:rsidP="006B7BDA">
            <w:pPr>
              <w:rPr>
                <w:sz w:val="20"/>
                <w:szCs w:val="20"/>
              </w:rPr>
            </w:pPr>
            <w:r w:rsidRPr="005E5832">
              <w:rPr>
                <w:sz w:val="20"/>
                <w:szCs w:val="20"/>
              </w:rPr>
              <w:t>-</w:t>
            </w:r>
            <w:r w:rsidRPr="005E5832">
              <w:rPr>
                <w:sz w:val="20"/>
                <w:szCs w:val="20"/>
              </w:rPr>
              <w:tab/>
              <w:t>Een traject voor jongeren met weinig of geen praktijkervaring;</w:t>
            </w:r>
          </w:p>
          <w:p w:rsidR="002C707A" w:rsidRPr="005E5832" w:rsidRDefault="006B7BDA" w:rsidP="006B7BDA">
            <w:pPr>
              <w:rPr>
                <w:sz w:val="20"/>
                <w:szCs w:val="20"/>
              </w:rPr>
            </w:pPr>
            <w:r w:rsidRPr="005E5832">
              <w:rPr>
                <w:sz w:val="20"/>
                <w:szCs w:val="20"/>
              </w:rPr>
              <w:t>-</w:t>
            </w:r>
            <w:r w:rsidRPr="005E5832">
              <w:rPr>
                <w:sz w:val="20"/>
                <w:szCs w:val="20"/>
              </w:rPr>
              <w:tab/>
              <w:t>Een traject voor jongeren met praktijkervaring.</w:t>
            </w:r>
          </w:p>
        </w:tc>
        <w:tc>
          <w:tcPr>
            <w:tcW w:w="1559" w:type="dxa"/>
          </w:tcPr>
          <w:p w:rsidR="002C707A" w:rsidRPr="005E5832" w:rsidRDefault="006B7BDA" w:rsidP="002C707A">
            <w:pPr>
              <w:rPr>
                <w:sz w:val="20"/>
                <w:szCs w:val="20"/>
              </w:rPr>
            </w:pPr>
            <w:r w:rsidRPr="005E5832">
              <w:rPr>
                <w:sz w:val="20"/>
                <w:szCs w:val="20"/>
              </w:rPr>
              <w:t>Nederlandstalig onderwijs, Franstalig onderwijs, Alternerend Leren (IFAPME, SYNTRA, SFPME of IAWM)</w:t>
            </w:r>
          </w:p>
        </w:tc>
        <w:tc>
          <w:tcPr>
            <w:tcW w:w="2268" w:type="dxa"/>
          </w:tcPr>
          <w:p w:rsidR="002C707A" w:rsidRPr="005E5832" w:rsidRDefault="006B7BDA" w:rsidP="002C707A">
            <w:pPr>
              <w:rPr>
                <w:sz w:val="20"/>
                <w:szCs w:val="20"/>
              </w:rPr>
            </w:pPr>
            <w:r w:rsidRPr="005E5832">
              <w:rPr>
                <w:sz w:val="20"/>
                <w:szCs w:val="20"/>
              </w:rPr>
              <w:t>De jongeren uit het 5</w:t>
            </w:r>
            <w:r w:rsidRPr="005E5832">
              <w:rPr>
                <w:sz w:val="20"/>
                <w:szCs w:val="20"/>
                <w:vertAlign w:val="superscript"/>
              </w:rPr>
              <w:t>de</w:t>
            </w:r>
            <w:r w:rsidRPr="005E5832">
              <w:rPr>
                <w:sz w:val="20"/>
                <w:szCs w:val="20"/>
              </w:rPr>
              <w:t xml:space="preserve"> of 6</w:t>
            </w:r>
            <w:r w:rsidRPr="005E5832">
              <w:rPr>
                <w:sz w:val="20"/>
                <w:szCs w:val="20"/>
                <w:vertAlign w:val="superscript"/>
              </w:rPr>
              <w:t>de</w:t>
            </w:r>
            <w:r w:rsidRPr="005E5832">
              <w:rPr>
                <w:sz w:val="20"/>
                <w:szCs w:val="20"/>
              </w:rPr>
              <w:t xml:space="preserve"> jaar in het voltijds onderwijs richting carrosserie;</w:t>
            </w:r>
          </w:p>
          <w:p w:rsidR="006B7BDA" w:rsidRPr="005E5832" w:rsidRDefault="006B7BDA" w:rsidP="002C707A">
            <w:pPr>
              <w:rPr>
                <w:sz w:val="20"/>
                <w:szCs w:val="20"/>
              </w:rPr>
            </w:pPr>
            <w:r w:rsidRPr="005E5832">
              <w:rPr>
                <w:sz w:val="20"/>
                <w:szCs w:val="20"/>
              </w:rPr>
              <w:t>De jongeren in het laatste jaar van het deeltijds onderwijs (CEFA en CDO) richting carrosserie; de jongeren uit het laatste jaar alternerend leren richting carrosserie ( IFAPME, SYNTRA, SFPME of IAWM)</w:t>
            </w:r>
            <w:r w:rsidR="00BC2880" w:rsidRPr="005E5832">
              <w:rPr>
                <w:sz w:val="20"/>
                <w:szCs w:val="20"/>
              </w:rPr>
              <w:t>.</w:t>
            </w:r>
          </w:p>
        </w:tc>
        <w:tc>
          <w:tcPr>
            <w:tcW w:w="1276" w:type="dxa"/>
          </w:tcPr>
          <w:p w:rsidR="002C707A" w:rsidRPr="005E5832" w:rsidRDefault="006712BA" w:rsidP="002C707A">
            <w:pPr>
              <w:rPr>
                <w:sz w:val="20"/>
                <w:szCs w:val="20"/>
              </w:rPr>
            </w:pPr>
            <w:r w:rsidRPr="005E5832">
              <w:rPr>
                <w:sz w:val="20"/>
                <w:szCs w:val="20"/>
              </w:rPr>
              <w:t>50 jongeren</w:t>
            </w:r>
          </w:p>
        </w:tc>
        <w:tc>
          <w:tcPr>
            <w:tcW w:w="1701" w:type="dxa"/>
          </w:tcPr>
          <w:p w:rsidR="002C707A" w:rsidRPr="005E5832" w:rsidRDefault="006712BA" w:rsidP="002C707A">
            <w:pPr>
              <w:rPr>
                <w:sz w:val="20"/>
                <w:szCs w:val="20"/>
              </w:rPr>
            </w:pPr>
            <w:r w:rsidRPr="005E5832">
              <w:rPr>
                <w:sz w:val="20"/>
                <w:szCs w:val="20"/>
              </w:rPr>
              <w:t xml:space="preserve">€ </w:t>
            </w:r>
            <w:r w:rsidR="00192856">
              <w:rPr>
                <w:sz w:val="20"/>
                <w:szCs w:val="20"/>
              </w:rPr>
              <w:t>71.201,22</w:t>
            </w:r>
          </w:p>
        </w:tc>
        <w:tc>
          <w:tcPr>
            <w:tcW w:w="1445" w:type="dxa"/>
          </w:tcPr>
          <w:p w:rsidR="002C707A" w:rsidRPr="005E5832" w:rsidRDefault="00192856" w:rsidP="002C707A">
            <w:pPr>
              <w:rPr>
                <w:sz w:val="20"/>
                <w:szCs w:val="20"/>
              </w:rPr>
            </w:pPr>
            <w:r>
              <w:rPr>
                <w:sz w:val="20"/>
                <w:szCs w:val="20"/>
              </w:rPr>
              <w:t>€ 3.798,78</w:t>
            </w:r>
          </w:p>
        </w:tc>
      </w:tr>
      <w:tr w:rsidR="005E5832" w:rsidRPr="005E5832" w:rsidTr="005E5832">
        <w:trPr>
          <w:trHeight w:val="1701"/>
        </w:trPr>
        <w:tc>
          <w:tcPr>
            <w:tcW w:w="534" w:type="dxa"/>
          </w:tcPr>
          <w:p w:rsidR="006712BA" w:rsidRPr="005E5832" w:rsidRDefault="006712BA" w:rsidP="006712BA">
            <w:pPr>
              <w:rPr>
                <w:sz w:val="20"/>
                <w:szCs w:val="20"/>
              </w:rPr>
            </w:pPr>
            <w:r w:rsidRPr="005E5832">
              <w:rPr>
                <w:sz w:val="20"/>
                <w:szCs w:val="20"/>
              </w:rPr>
              <w:t>2</w:t>
            </w:r>
          </w:p>
        </w:tc>
        <w:tc>
          <w:tcPr>
            <w:tcW w:w="1701" w:type="dxa"/>
          </w:tcPr>
          <w:p w:rsidR="006712BA" w:rsidRPr="005E5832" w:rsidRDefault="006B7BDA" w:rsidP="006712BA">
            <w:pPr>
              <w:rPr>
                <w:sz w:val="20"/>
                <w:szCs w:val="20"/>
              </w:rPr>
            </w:pPr>
            <w:r w:rsidRPr="005E5832">
              <w:rPr>
                <w:sz w:val="20"/>
                <w:szCs w:val="20"/>
              </w:rPr>
              <w:t>Project "Sectorale proeven voor jongeren – koetswerk"</w:t>
            </w:r>
          </w:p>
        </w:tc>
        <w:tc>
          <w:tcPr>
            <w:tcW w:w="5386" w:type="dxa"/>
          </w:tcPr>
          <w:p w:rsidR="006712BA" w:rsidRPr="005E5832" w:rsidRDefault="006B7BDA" w:rsidP="00BC2880">
            <w:pPr>
              <w:rPr>
                <w:sz w:val="20"/>
                <w:szCs w:val="20"/>
              </w:rPr>
            </w:pPr>
            <w:r w:rsidRPr="005E5832">
              <w:rPr>
                <w:sz w:val="20"/>
                <w:szCs w:val="20"/>
              </w:rPr>
              <w:t>Dankzij ons partnerschap met IFAPME, SFPME en IAWM hebben we sectorale koetswerkproeven uitgewerkt (voorbewerking - spuitwerk). De bedoeling van die proeven is dus enerzijds om het competentieniveau van de jongere te evalueren tegenover wat bedrijven verwachten en anderzijds om hem (als hij</w:t>
            </w:r>
            <w:r w:rsidR="00BC2880" w:rsidRPr="005E5832">
              <w:rPr>
                <w:sz w:val="20"/>
                <w:szCs w:val="20"/>
              </w:rPr>
              <w:t>/zij</w:t>
            </w:r>
            <w:r w:rsidRPr="005E5832">
              <w:rPr>
                <w:sz w:val="20"/>
                <w:szCs w:val="20"/>
              </w:rPr>
              <w:t xml:space="preserve"> slaagt) een attest te bezorgen dat door de professionals in de sector erkend is. In 2016 en 2017 is er een pilootproject gevoerd voor jongeren uit het Franstalige onderwijs. We gaan deze actie herhalen voor jongeren uit het Franstalige onderwijs en eventueel andere partners als die er belangstelling voor hebben, met name SYNTRA, het Franstalige onderwijs en het Nederlandstalige onderwijs.</w:t>
            </w:r>
          </w:p>
        </w:tc>
        <w:tc>
          <w:tcPr>
            <w:tcW w:w="1559" w:type="dxa"/>
          </w:tcPr>
          <w:p w:rsidR="006712BA" w:rsidRPr="005E5832" w:rsidRDefault="00BC2880" w:rsidP="00BC2880">
            <w:pPr>
              <w:rPr>
                <w:sz w:val="20"/>
                <w:szCs w:val="20"/>
              </w:rPr>
            </w:pPr>
            <w:r w:rsidRPr="005E5832">
              <w:rPr>
                <w:sz w:val="20"/>
                <w:szCs w:val="20"/>
              </w:rPr>
              <w:t>Nederlandstalig onderwijs, Franstalig onderwijs, Alternerend Leren (SYNTRA)</w:t>
            </w:r>
          </w:p>
        </w:tc>
        <w:tc>
          <w:tcPr>
            <w:tcW w:w="2268" w:type="dxa"/>
          </w:tcPr>
          <w:p w:rsidR="006712BA" w:rsidRPr="005E5832" w:rsidRDefault="00BC2880" w:rsidP="00BC2880">
            <w:pPr>
              <w:rPr>
                <w:sz w:val="20"/>
                <w:szCs w:val="20"/>
              </w:rPr>
            </w:pPr>
            <w:r w:rsidRPr="005E5832">
              <w:rPr>
                <w:sz w:val="20"/>
                <w:szCs w:val="20"/>
              </w:rPr>
              <w:t>De jongeren uit het laatste jaar alternerend leren bij SYNTRA richting carrosserie en /of uit het Franstalig of Nederlandstalig onderwijs richting carrosserie.</w:t>
            </w:r>
          </w:p>
        </w:tc>
        <w:tc>
          <w:tcPr>
            <w:tcW w:w="1276" w:type="dxa"/>
          </w:tcPr>
          <w:p w:rsidR="006712BA" w:rsidRPr="005E5832" w:rsidRDefault="006712BA" w:rsidP="006712BA">
            <w:pPr>
              <w:rPr>
                <w:sz w:val="20"/>
                <w:szCs w:val="20"/>
              </w:rPr>
            </w:pPr>
            <w:r w:rsidRPr="005E5832">
              <w:rPr>
                <w:sz w:val="20"/>
                <w:szCs w:val="20"/>
              </w:rPr>
              <w:t>100 jongeren</w:t>
            </w:r>
          </w:p>
        </w:tc>
        <w:tc>
          <w:tcPr>
            <w:tcW w:w="1701" w:type="dxa"/>
          </w:tcPr>
          <w:p w:rsidR="006712BA" w:rsidRPr="005E5832" w:rsidRDefault="006712BA" w:rsidP="006712BA">
            <w:pPr>
              <w:rPr>
                <w:sz w:val="20"/>
                <w:szCs w:val="20"/>
              </w:rPr>
            </w:pPr>
            <w:r w:rsidRPr="005E5832">
              <w:rPr>
                <w:sz w:val="20"/>
                <w:szCs w:val="20"/>
              </w:rPr>
              <w:t xml:space="preserve">€ </w:t>
            </w:r>
            <w:r w:rsidR="00192856">
              <w:rPr>
                <w:sz w:val="20"/>
                <w:szCs w:val="20"/>
              </w:rPr>
              <w:t>71.201,23</w:t>
            </w:r>
          </w:p>
        </w:tc>
        <w:tc>
          <w:tcPr>
            <w:tcW w:w="1445" w:type="dxa"/>
          </w:tcPr>
          <w:p w:rsidR="006712BA" w:rsidRPr="005E5832" w:rsidRDefault="006712BA" w:rsidP="006712BA">
            <w:pPr>
              <w:rPr>
                <w:sz w:val="20"/>
                <w:szCs w:val="20"/>
              </w:rPr>
            </w:pPr>
            <w:r w:rsidRPr="005E5832">
              <w:rPr>
                <w:sz w:val="20"/>
                <w:szCs w:val="20"/>
              </w:rPr>
              <w:t>€ 3</w:t>
            </w:r>
            <w:r w:rsidR="00192856">
              <w:rPr>
                <w:sz w:val="20"/>
                <w:szCs w:val="20"/>
              </w:rPr>
              <w:t>.798,78</w:t>
            </w:r>
          </w:p>
        </w:tc>
      </w:tr>
      <w:tr w:rsidR="005E5832" w:rsidRPr="005E5832" w:rsidTr="005E5832">
        <w:trPr>
          <w:trHeight w:val="1399"/>
        </w:trPr>
        <w:tc>
          <w:tcPr>
            <w:tcW w:w="534" w:type="dxa"/>
            <w:tcBorders>
              <w:bottom w:val="single" w:sz="4" w:space="0" w:color="auto"/>
            </w:tcBorders>
          </w:tcPr>
          <w:p w:rsidR="006712BA" w:rsidRPr="005E5832" w:rsidRDefault="006712BA" w:rsidP="006712BA">
            <w:pPr>
              <w:rPr>
                <w:sz w:val="20"/>
                <w:szCs w:val="20"/>
              </w:rPr>
            </w:pPr>
            <w:r w:rsidRPr="005E5832">
              <w:rPr>
                <w:sz w:val="20"/>
                <w:szCs w:val="20"/>
              </w:rPr>
              <w:lastRenderedPageBreak/>
              <w:t>3</w:t>
            </w:r>
          </w:p>
        </w:tc>
        <w:tc>
          <w:tcPr>
            <w:tcW w:w="1701" w:type="dxa"/>
            <w:tcBorders>
              <w:bottom w:val="single" w:sz="4" w:space="0" w:color="auto"/>
            </w:tcBorders>
          </w:tcPr>
          <w:p w:rsidR="006712BA" w:rsidRPr="005E5832" w:rsidRDefault="006B7BDA" w:rsidP="006712BA">
            <w:pPr>
              <w:rPr>
                <w:sz w:val="20"/>
                <w:szCs w:val="20"/>
              </w:rPr>
            </w:pPr>
            <w:r w:rsidRPr="005E5832">
              <w:rPr>
                <w:sz w:val="20"/>
                <w:szCs w:val="20"/>
              </w:rPr>
              <w:t>Project "Opleidingen 'Aanvulling nieuwe technologieën' voor jongeren – garages of voor jongeren – koetswerk"</w:t>
            </w:r>
          </w:p>
        </w:tc>
        <w:tc>
          <w:tcPr>
            <w:tcW w:w="5386" w:type="dxa"/>
            <w:tcBorders>
              <w:bottom w:val="single" w:sz="4" w:space="0" w:color="auto"/>
            </w:tcBorders>
          </w:tcPr>
          <w:p w:rsidR="006B7BDA" w:rsidRPr="005E5832" w:rsidRDefault="006B7BDA" w:rsidP="006B7BDA">
            <w:pPr>
              <w:rPr>
                <w:sz w:val="20"/>
                <w:szCs w:val="20"/>
              </w:rPr>
            </w:pPr>
            <w:r w:rsidRPr="005E5832">
              <w:rPr>
                <w:sz w:val="20"/>
                <w:szCs w:val="20"/>
              </w:rPr>
              <w:t xml:space="preserve">In het kader van onze samenwerkingen met het voltijds onderwijs hebben we vastgesteld dat jongeren aan het einde van hun opleiding "mechanica" en "koetswerk" moeilijkheden ervaren om een baan te vinden omdat ze niet alle noodzakelijke competenties verworven hebben om de complexere taken te kunnen verrichten die van hen verlangd worden. </w:t>
            </w:r>
          </w:p>
          <w:p w:rsidR="006B7BDA" w:rsidRPr="005E5832" w:rsidRDefault="006B7BDA" w:rsidP="006B7BDA">
            <w:pPr>
              <w:rPr>
                <w:sz w:val="20"/>
                <w:szCs w:val="20"/>
              </w:rPr>
            </w:pPr>
            <w:r w:rsidRPr="005E5832">
              <w:rPr>
                <w:sz w:val="20"/>
                <w:szCs w:val="20"/>
              </w:rPr>
              <w:t>De doelstelling van dit project is dubbel:</w:t>
            </w:r>
          </w:p>
          <w:p w:rsidR="00BC2880" w:rsidRPr="005E5832" w:rsidRDefault="006B7BDA" w:rsidP="00BC2880">
            <w:pPr>
              <w:rPr>
                <w:sz w:val="20"/>
                <w:szCs w:val="20"/>
              </w:rPr>
            </w:pPr>
            <w:r w:rsidRPr="005E5832">
              <w:rPr>
                <w:sz w:val="20"/>
                <w:szCs w:val="20"/>
              </w:rPr>
              <w:t>-</w:t>
            </w:r>
            <w:r w:rsidRPr="005E5832">
              <w:rPr>
                <w:sz w:val="20"/>
                <w:szCs w:val="20"/>
              </w:rPr>
              <w:tab/>
              <w:t xml:space="preserve">Enerzijds, verwerven van competenties met betrekking tot deze nieuwe technologieën. </w:t>
            </w:r>
          </w:p>
          <w:p w:rsidR="006712BA" w:rsidRPr="005E5832" w:rsidRDefault="006B7BDA" w:rsidP="00BC2880">
            <w:pPr>
              <w:rPr>
                <w:sz w:val="20"/>
                <w:szCs w:val="20"/>
              </w:rPr>
            </w:pPr>
            <w:r w:rsidRPr="005E5832">
              <w:rPr>
                <w:sz w:val="20"/>
                <w:szCs w:val="20"/>
              </w:rPr>
              <w:t>-</w:t>
            </w:r>
            <w:r w:rsidRPr="005E5832">
              <w:rPr>
                <w:sz w:val="20"/>
                <w:szCs w:val="20"/>
              </w:rPr>
              <w:tab/>
              <w:t>Anderzijds, organiseren van twee stageperioden om de brug te slaan tussen opleiding en tewerkstelling.</w:t>
            </w:r>
          </w:p>
        </w:tc>
        <w:tc>
          <w:tcPr>
            <w:tcW w:w="1559" w:type="dxa"/>
            <w:tcBorders>
              <w:bottom w:val="single" w:sz="4" w:space="0" w:color="auto"/>
            </w:tcBorders>
          </w:tcPr>
          <w:p w:rsidR="006712BA" w:rsidRPr="005E5832" w:rsidRDefault="00BC2880" w:rsidP="006712BA">
            <w:pPr>
              <w:rPr>
                <w:sz w:val="20"/>
                <w:szCs w:val="20"/>
              </w:rPr>
            </w:pPr>
            <w:r w:rsidRPr="005E5832">
              <w:rPr>
                <w:sz w:val="20"/>
                <w:szCs w:val="20"/>
              </w:rPr>
              <w:t>Nederlandstalig onderwijs (voltijds) en  Franstalig onderwijs (voltijds).</w:t>
            </w:r>
          </w:p>
        </w:tc>
        <w:tc>
          <w:tcPr>
            <w:tcW w:w="2268" w:type="dxa"/>
            <w:tcBorders>
              <w:bottom w:val="single" w:sz="4" w:space="0" w:color="auto"/>
            </w:tcBorders>
          </w:tcPr>
          <w:p w:rsidR="006712BA" w:rsidRPr="005E5832" w:rsidRDefault="00BC2880" w:rsidP="006712BA">
            <w:pPr>
              <w:rPr>
                <w:sz w:val="20"/>
                <w:szCs w:val="20"/>
              </w:rPr>
            </w:pPr>
            <w:r w:rsidRPr="005E5832">
              <w:rPr>
                <w:sz w:val="20"/>
                <w:szCs w:val="20"/>
              </w:rPr>
              <w:t>De jongeren die hun opleiding tot ‘onderhoudsmecanicien’, ‘polyvalent mecanicien’ of ‘koetswerk’ hebben beëindigd in het voltijds onderwijs.</w:t>
            </w:r>
          </w:p>
        </w:tc>
        <w:tc>
          <w:tcPr>
            <w:tcW w:w="1276" w:type="dxa"/>
            <w:tcBorders>
              <w:bottom w:val="single" w:sz="4" w:space="0" w:color="auto"/>
            </w:tcBorders>
          </w:tcPr>
          <w:p w:rsidR="006712BA" w:rsidRPr="005E5832" w:rsidRDefault="006B7BDA" w:rsidP="006712BA">
            <w:pPr>
              <w:rPr>
                <w:sz w:val="20"/>
                <w:szCs w:val="20"/>
              </w:rPr>
            </w:pPr>
            <w:r w:rsidRPr="005E5832">
              <w:rPr>
                <w:sz w:val="20"/>
                <w:szCs w:val="20"/>
              </w:rPr>
              <w:t>30 jongeren</w:t>
            </w:r>
          </w:p>
        </w:tc>
        <w:tc>
          <w:tcPr>
            <w:tcW w:w="1701" w:type="dxa"/>
          </w:tcPr>
          <w:p w:rsidR="006712BA" w:rsidRPr="005E5832" w:rsidRDefault="006B7BDA" w:rsidP="006712BA">
            <w:pPr>
              <w:rPr>
                <w:sz w:val="20"/>
                <w:szCs w:val="20"/>
              </w:rPr>
            </w:pPr>
            <w:r w:rsidRPr="005E5832">
              <w:rPr>
                <w:sz w:val="20"/>
                <w:szCs w:val="20"/>
              </w:rPr>
              <w:t xml:space="preserve">€ </w:t>
            </w:r>
            <w:r w:rsidR="00192856">
              <w:rPr>
                <w:rFonts w:ascii="Calibri" w:hAnsi="Calibri"/>
                <w:color w:val="000000"/>
                <w:sz w:val="20"/>
                <w:szCs w:val="20"/>
              </w:rPr>
              <w:t>185.201,22</w:t>
            </w:r>
          </w:p>
        </w:tc>
        <w:tc>
          <w:tcPr>
            <w:tcW w:w="1445" w:type="dxa"/>
          </w:tcPr>
          <w:p w:rsidR="006712BA" w:rsidRPr="005E5832" w:rsidRDefault="006B7BDA" w:rsidP="006712BA">
            <w:pPr>
              <w:rPr>
                <w:sz w:val="20"/>
                <w:szCs w:val="20"/>
              </w:rPr>
            </w:pPr>
            <w:r w:rsidRPr="005E5832">
              <w:rPr>
                <w:sz w:val="20"/>
                <w:szCs w:val="20"/>
              </w:rPr>
              <w:t>€ 3</w:t>
            </w:r>
            <w:r w:rsidR="00192856">
              <w:rPr>
                <w:sz w:val="20"/>
                <w:szCs w:val="20"/>
              </w:rPr>
              <w:t>.798,77</w:t>
            </w:r>
          </w:p>
        </w:tc>
      </w:tr>
      <w:tr w:rsidR="006B7BDA" w:rsidRPr="005E5832" w:rsidTr="005E5832">
        <w:trPr>
          <w:trHeight w:val="1399"/>
        </w:trPr>
        <w:tc>
          <w:tcPr>
            <w:tcW w:w="534" w:type="dxa"/>
            <w:tcBorders>
              <w:bottom w:val="single" w:sz="4" w:space="0" w:color="auto"/>
            </w:tcBorders>
          </w:tcPr>
          <w:p w:rsidR="006B7BDA" w:rsidRPr="005E5832" w:rsidRDefault="006B7BDA" w:rsidP="006712BA">
            <w:pPr>
              <w:rPr>
                <w:sz w:val="20"/>
                <w:szCs w:val="20"/>
              </w:rPr>
            </w:pPr>
          </w:p>
        </w:tc>
        <w:tc>
          <w:tcPr>
            <w:tcW w:w="1701" w:type="dxa"/>
            <w:tcBorders>
              <w:bottom w:val="single" w:sz="4" w:space="0" w:color="auto"/>
            </w:tcBorders>
          </w:tcPr>
          <w:p w:rsidR="006B7BDA" w:rsidRPr="005E5832" w:rsidRDefault="006B7BDA" w:rsidP="006712BA">
            <w:pPr>
              <w:rPr>
                <w:sz w:val="20"/>
                <w:szCs w:val="20"/>
              </w:rPr>
            </w:pPr>
            <w:r w:rsidRPr="005E5832">
              <w:rPr>
                <w:sz w:val="20"/>
                <w:szCs w:val="20"/>
              </w:rPr>
              <w:t>4.</w:t>
            </w:r>
            <w:r w:rsidRPr="005E5832">
              <w:rPr>
                <w:sz w:val="20"/>
                <w:szCs w:val="20"/>
              </w:rPr>
              <w:tab/>
              <w:t>Project "Opleidingen 'Motormanagement' voor jongeren – garages"</w:t>
            </w:r>
          </w:p>
        </w:tc>
        <w:tc>
          <w:tcPr>
            <w:tcW w:w="5386" w:type="dxa"/>
            <w:tcBorders>
              <w:bottom w:val="single" w:sz="4" w:space="0" w:color="auto"/>
            </w:tcBorders>
          </w:tcPr>
          <w:p w:rsidR="006B7BDA" w:rsidRPr="005E5832" w:rsidRDefault="006B7BDA" w:rsidP="00BC2880">
            <w:pPr>
              <w:rPr>
                <w:sz w:val="20"/>
                <w:szCs w:val="20"/>
              </w:rPr>
            </w:pPr>
            <w:r w:rsidRPr="005E5832">
              <w:rPr>
                <w:sz w:val="20"/>
                <w:szCs w:val="20"/>
              </w:rPr>
              <w:t xml:space="preserve">We stellen de jongeren (uit de mechanische richtingen) een opleidingstraject rond specifieke technologieën voor, die jongeren maar weinig beheersen en die nochtans cruciaal zijn om een baan te vinden, met name technieken in verband met "motormanagement". We stellen voor om die toestand te verhelpen via een online opleidingssysteem gekoppeld aan een praktijkopleiding. </w:t>
            </w:r>
          </w:p>
        </w:tc>
        <w:tc>
          <w:tcPr>
            <w:tcW w:w="1559" w:type="dxa"/>
            <w:tcBorders>
              <w:bottom w:val="single" w:sz="4" w:space="0" w:color="auto"/>
            </w:tcBorders>
          </w:tcPr>
          <w:p w:rsidR="006B7BDA" w:rsidRPr="005E5832" w:rsidRDefault="00BC2880" w:rsidP="006712BA">
            <w:pPr>
              <w:rPr>
                <w:sz w:val="20"/>
                <w:szCs w:val="20"/>
              </w:rPr>
            </w:pPr>
            <w:r w:rsidRPr="005E5832">
              <w:rPr>
                <w:sz w:val="20"/>
                <w:szCs w:val="20"/>
              </w:rPr>
              <w:t>Nederlandstalig onderwijs, Franstalig onderwijs, Alternerend Leren (IFAPME, SYNTRA, SFPME of IAWM)</w:t>
            </w:r>
          </w:p>
        </w:tc>
        <w:tc>
          <w:tcPr>
            <w:tcW w:w="2268" w:type="dxa"/>
            <w:tcBorders>
              <w:bottom w:val="single" w:sz="4" w:space="0" w:color="auto"/>
            </w:tcBorders>
          </w:tcPr>
          <w:p w:rsidR="00BC2880" w:rsidRPr="005E5832" w:rsidRDefault="00BC2880" w:rsidP="00BC2880">
            <w:pPr>
              <w:rPr>
                <w:sz w:val="20"/>
                <w:szCs w:val="20"/>
              </w:rPr>
            </w:pPr>
            <w:r w:rsidRPr="005E5832">
              <w:rPr>
                <w:sz w:val="20"/>
                <w:szCs w:val="20"/>
              </w:rPr>
              <w:t>De jongeren uit het 5</w:t>
            </w:r>
            <w:r w:rsidRPr="005E5832">
              <w:rPr>
                <w:sz w:val="20"/>
                <w:szCs w:val="20"/>
                <w:vertAlign w:val="superscript"/>
              </w:rPr>
              <w:t>de</w:t>
            </w:r>
            <w:r w:rsidRPr="005E5832">
              <w:rPr>
                <w:sz w:val="20"/>
                <w:szCs w:val="20"/>
              </w:rPr>
              <w:t xml:space="preserve"> of 6</w:t>
            </w:r>
            <w:r w:rsidRPr="005E5832">
              <w:rPr>
                <w:sz w:val="20"/>
                <w:szCs w:val="20"/>
                <w:vertAlign w:val="superscript"/>
              </w:rPr>
              <w:t>de</w:t>
            </w:r>
            <w:r w:rsidRPr="005E5832">
              <w:rPr>
                <w:sz w:val="20"/>
                <w:szCs w:val="20"/>
              </w:rPr>
              <w:t xml:space="preserve"> jaar in het voltijds onderwijs richting ‘onderhoudsmecanicien ‘ of ‘polyvalent mecanicien’;</w:t>
            </w:r>
          </w:p>
          <w:p w:rsidR="006B7BDA" w:rsidRPr="005E5832" w:rsidRDefault="00BC2880" w:rsidP="00BC2880">
            <w:pPr>
              <w:rPr>
                <w:sz w:val="20"/>
                <w:szCs w:val="20"/>
              </w:rPr>
            </w:pPr>
            <w:r w:rsidRPr="005E5832">
              <w:rPr>
                <w:sz w:val="20"/>
                <w:szCs w:val="20"/>
              </w:rPr>
              <w:t>De jongeren in het laatste jaar van het deeltijds onderwijs (CEFA en CDO) richting ‘onderhoudsmecanicien ‘ of ‘polyvalent mecanicien’; de jongeren uit het laatste jaar alternerend leren richting ‘garagehouder-hersteller’ ( IFAPME, SYNTRA, SFPME of IAWM).</w:t>
            </w:r>
          </w:p>
        </w:tc>
        <w:tc>
          <w:tcPr>
            <w:tcW w:w="1276" w:type="dxa"/>
            <w:tcBorders>
              <w:bottom w:val="single" w:sz="4" w:space="0" w:color="auto"/>
            </w:tcBorders>
          </w:tcPr>
          <w:p w:rsidR="006B7BDA" w:rsidRPr="005E5832" w:rsidRDefault="006B7BDA" w:rsidP="006712BA">
            <w:pPr>
              <w:rPr>
                <w:sz w:val="20"/>
                <w:szCs w:val="20"/>
              </w:rPr>
            </w:pPr>
            <w:r w:rsidRPr="005E5832">
              <w:rPr>
                <w:sz w:val="20"/>
                <w:szCs w:val="20"/>
              </w:rPr>
              <w:t>200 jongeren</w:t>
            </w:r>
          </w:p>
        </w:tc>
        <w:tc>
          <w:tcPr>
            <w:tcW w:w="1701" w:type="dxa"/>
          </w:tcPr>
          <w:p w:rsidR="006B7BDA" w:rsidRPr="005E5832" w:rsidRDefault="00192856" w:rsidP="006712BA">
            <w:pPr>
              <w:rPr>
                <w:sz w:val="20"/>
                <w:szCs w:val="20"/>
              </w:rPr>
            </w:pPr>
            <w:r>
              <w:rPr>
                <w:sz w:val="20"/>
                <w:szCs w:val="20"/>
              </w:rPr>
              <w:t>€ 86.201,22</w:t>
            </w:r>
          </w:p>
        </w:tc>
        <w:tc>
          <w:tcPr>
            <w:tcW w:w="1445" w:type="dxa"/>
          </w:tcPr>
          <w:p w:rsidR="006B7BDA" w:rsidRPr="005E5832" w:rsidRDefault="006B7BDA" w:rsidP="006712BA">
            <w:pPr>
              <w:rPr>
                <w:sz w:val="20"/>
                <w:szCs w:val="20"/>
              </w:rPr>
            </w:pPr>
            <w:r w:rsidRPr="005E5832">
              <w:rPr>
                <w:sz w:val="20"/>
                <w:szCs w:val="20"/>
              </w:rPr>
              <w:t>€ 3</w:t>
            </w:r>
            <w:r w:rsidR="00192856">
              <w:rPr>
                <w:sz w:val="20"/>
                <w:szCs w:val="20"/>
              </w:rPr>
              <w:t>.798,78</w:t>
            </w:r>
          </w:p>
        </w:tc>
      </w:tr>
      <w:tr w:rsidR="00822F20" w:rsidRPr="005E5832" w:rsidTr="005E5832">
        <w:trPr>
          <w:trHeight w:val="707"/>
        </w:trPr>
        <w:tc>
          <w:tcPr>
            <w:tcW w:w="11448" w:type="dxa"/>
            <w:gridSpan w:val="5"/>
            <w:tcBorders>
              <w:left w:val="nil"/>
              <w:bottom w:val="nil"/>
            </w:tcBorders>
          </w:tcPr>
          <w:p w:rsidR="00822F20" w:rsidRPr="005E5832" w:rsidRDefault="00822F20" w:rsidP="00822F20">
            <w:pPr>
              <w:jc w:val="right"/>
              <w:rPr>
                <w:sz w:val="20"/>
                <w:szCs w:val="20"/>
              </w:rPr>
            </w:pPr>
            <w:r w:rsidRPr="005E5832">
              <w:rPr>
                <w:sz w:val="20"/>
                <w:szCs w:val="20"/>
              </w:rPr>
              <w:t>Totaal</w:t>
            </w:r>
          </w:p>
        </w:tc>
        <w:tc>
          <w:tcPr>
            <w:tcW w:w="1276" w:type="dxa"/>
          </w:tcPr>
          <w:p w:rsidR="00822F20" w:rsidRPr="005E5832" w:rsidRDefault="00822F20" w:rsidP="00822F20">
            <w:pPr>
              <w:rPr>
                <w:sz w:val="20"/>
                <w:szCs w:val="20"/>
              </w:rPr>
            </w:pPr>
            <w:r w:rsidRPr="005E5832">
              <w:rPr>
                <w:sz w:val="20"/>
                <w:szCs w:val="20"/>
              </w:rPr>
              <w:t>380 jongeren</w:t>
            </w:r>
          </w:p>
        </w:tc>
        <w:tc>
          <w:tcPr>
            <w:tcW w:w="1701" w:type="dxa"/>
          </w:tcPr>
          <w:p w:rsidR="00822F20" w:rsidRPr="005E5832" w:rsidRDefault="00822F20" w:rsidP="00822F20">
            <w:pPr>
              <w:rPr>
                <w:rFonts w:ascii="Calibri" w:hAnsi="Calibri"/>
                <w:color w:val="000000"/>
                <w:sz w:val="20"/>
                <w:szCs w:val="20"/>
              </w:rPr>
            </w:pPr>
            <w:r w:rsidRPr="005E5832">
              <w:rPr>
                <w:rFonts w:ascii="Calibri" w:hAnsi="Calibri"/>
                <w:color w:val="000000"/>
                <w:sz w:val="20"/>
                <w:szCs w:val="20"/>
              </w:rPr>
              <w:t>€ 413.804,89</w:t>
            </w:r>
          </w:p>
          <w:p w:rsidR="00822F20" w:rsidRPr="005E5832" w:rsidRDefault="00822F20" w:rsidP="00822F20">
            <w:pPr>
              <w:rPr>
                <w:sz w:val="20"/>
                <w:szCs w:val="20"/>
              </w:rPr>
            </w:pPr>
          </w:p>
        </w:tc>
        <w:tc>
          <w:tcPr>
            <w:tcW w:w="1445" w:type="dxa"/>
          </w:tcPr>
          <w:p w:rsidR="00822F20" w:rsidRPr="005E5832" w:rsidRDefault="00822F20" w:rsidP="00822F20">
            <w:pPr>
              <w:rPr>
                <w:sz w:val="20"/>
                <w:szCs w:val="20"/>
              </w:rPr>
            </w:pPr>
            <w:r w:rsidRPr="005E5832">
              <w:rPr>
                <w:sz w:val="20"/>
                <w:szCs w:val="20"/>
              </w:rPr>
              <w:t>€ 15.195,11</w:t>
            </w:r>
          </w:p>
        </w:tc>
      </w:tr>
    </w:tbl>
    <w:p w:rsidR="003B5287" w:rsidRPr="005E5832" w:rsidRDefault="00192856" w:rsidP="002C707A">
      <w:pPr>
        <w:rPr>
          <w:sz w:val="20"/>
          <w:szCs w:val="20"/>
          <w:lang w:val="fr-BE"/>
        </w:rPr>
      </w:pPr>
    </w:p>
    <w:sectPr w:rsidR="003B5287" w:rsidRPr="005E5832" w:rsidSect="004A0B4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40"/>
    <w:rsid w:val="00142309"/>
    <w:rsid w:val="00192856"/>
    <w:rsid w:val="002C707A"/>
    <w:rsid w:val="003B3BEA"/>
    <w:rsid w:val="004A0B40"/>
    <w:rsid w:val="00575012"/>
    <w:rsid w:val="005E5832"/>
    <w:rsid w:val="006712BA"/>
    <w:rsid w:val="006B7BDA"/>
    <w:rsid w:val="007A4849"/>
    <w:rsid w:val="00822F20"/>
    <w:rsid w:val="00BC28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3618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Werkgelegenheid, Arbeid en Sociaal Overleg</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SCHEERLINCK Frederik</cp:lastModifiedBy>
  <cp:revision>3</cp:revision>
  <dcterms:created xsi:type="dcterms:W3CDTF">2018-02-06T11:36:00Z</dcterms:created>
  <dcterms:modified xsi:type="dcterms:W3CDTF">2018-02-06T11:46:00Z</dcterms:modified>
</cp:coreProperties>
</file>