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12" w:rsidRDefault="00270804">
      <w:pPr>
        <w:rPr>
          <w:u w:val="single"/>
        </w:rPr>
      </w:pPr>
      <w:proofErr w:type="spellStart"/>
      <w:r>
        <w:rPr>
          <w:u w:val="single"/>
        </w:rPr>
        <w:t>PsC</w:t>
      </w:r>
      <w:proofErr w:type="spellEnd"/>
      <w:r>
        <w:rPr>
          <w:u w:val="single"/>
        </w:rPr>
        <w:t xml:space="preserve"> 140.01 - </w:t>
      </w:r>
      <w:bookmarkStart w:id="0" w:name="_GoBack"/>
      <w:bookmarkEnd w:id="0"/>
      <w:r w:rsidR="004A0B40" w:rsidRPr="004A0B40">
        <w:rPr>
          <w:u w:val="single"/>
        </w:rPr>
        <w:t>Bijkomend project voor jongeren 2018-2019</w:t>
      </w:r>
    </w:p>
    <w:tbl>
      <w:tblPr>
        <w:tblStyle w:val="Tabelraster"/>
        <w:tblpPr w:leftFromText="141" w:rightFromText="141" w:vertAnchor="page" w:horzAnchor="margin" w:tblpXSpec="center" w:tblpY="2031"/>
        <w:tblW w:w="15870" w:type="dxa"/>
        <w:tblLayout w:type="fixed"/>
        <w:tblLook w:val="04A0" w:firstRow="1" w:lastRow="0" w:firstColumn="1" w:lastColumn="0" w:noHBand="0" w:noVBand="1"/>
      </w:tblPr>
      <w:tblGrid>
        <w:gridCol w:w="534"/>
        <w:gridCol w:w="1167"/>
        <w:gridCol w:w="5387"/>
        <w:gridCol w:w="1417"/>
        <w:gridCol w:w="2410"/>
        <w:gridCol w:w="1418"/>
        <w:gridCol w:w="1842"/>
        <w:gridCol w:w="1695"/>
      </w:tblGrid>
      <w:tr w:rsidR="00144FFC" w:rsidTr="00E82741">
        <w:trPr>
          <w:trHeight w:val="338"/>
        </w:trPr>
        <w:tc>
          <w:tcPr>
            <w:tcW w:w="534" w:type="dxa"/>
            <w:vMerge w:val="restart"/>
            <w:tcBorders>
              <w:top w:val="nil"/>
              <w:left w:val="nil"/>
            </w:tcBorders>
          </w:tcPr>
          <w:p w:rsidR="00144FFC" w:rsidRDefault="00144FFC" w:rsidP="00144FFC"/>
        </w:tc>
        <w:tc>
          <w:tcPr>
            <w:tcW w:w="1167" w:type="dxa"/>
            <w:vMerge w:val="restart"/>
            <w:shd w:val="clear" w:color="auto" w:fill="B8CCE4" w:themeFill="accent1" w:themeFillTint="66"/>
            <w:vAlign w:val="center"/>
          </w:tcPr>
          <w:p w:rsidR="00144FFC" w:rsidRDefault="00144FFC" w:rsidP="00144FFC">
            <w:pPr>
              <w:jc w:val="center"/>
            </w:pPr>
            <w:r>
              <w:t>Benaming van de actie</w:t>
            </w:r>
          </w:p>
        </w:tc>
        <w:tc>
          <w:tcPr>
            <w:tcW w:w="5387" w:type="dxa"/>
            <w:vMerge w:val="restart"/>
            <w:shd w:val="clear" w:color="auto" w:fill="B8CCE4" w:themeFill="accent1" w:themeFillTint="66"/>
            <w:vAlign w:val="center"/>
          </w:tcPr>
          <w:p w:rsidR="00144FFC" w:rsidRDefault="00144FFC" w:rsidP="00144FFC">
            <w:pPr>
              <w:jc w:val="center"/>
            </w:pPr>
            <w:r>
              <w:t>Na te streven doelstellingen</w:t>
            </w:r>
          </w:p>
        </w:tc>
        <w:tc>
          <w:tcPr>
            <w:tcW w:w="1417" w:type="dxa"/>
            <w:vMerge w:val="restart"/>
            <w:shd w:val="clear" w:color="auto" w:fill="B8CCE4" w:themeFill="accent1" w:themeFillTint="66"/>
            <w:vAlign w:val="center"/>
          </w:tcPr>
          <w:p w:rsidR="00144FFC" w:rsidRDefault="00144FFC" w:rsidP="00144FFC">
            <w:pPr>
              <w:jc w:val="center"/>
            </w:pPr>
            <w:r>
              <w:t>Samenwerking(en) met… (andere organisaties)</w:t>
            </w:r>
          </w:p>
        </w:tc>
        <w:tc>
          <w:tcPr>
            <w:tcW w:w="2410" w:type="dxa"/>
            <w:vMerge w:val="restart"/>
            <w:shd w:val="clear" w:color="auto" w:fill="B8CCE4" w:themeFill="accent1" w:themeFillTint="66"/>
            <w:vAlign w:val="center"/>
          </w:tcPr>
          <w:p w:rsidR="00144FFC" w:rsidRDefault="00144FFC" w:rsidP="00144FFC">
            <w:pPr>
              <w:jc w:val="center"/>
            </w:pPr>
            <w:r>
              <w:t>Doelgroep</w:t>
            </w:r>
          </w:p>
        </w:tc>
        <w:tc>
          <w:tcPr>
            <w:tcW w:w="1418" w:type="dxa"/>
            <w:vMerge w:val="restart"/>
            <w:shd w:val="clear" w:color="auto" w:fill="B8CCE4" w:themeFill="accent1" w:themeFillTint="66"/>
            <w:vAlign w:val="center"/>
          </w:tcPr>
          <w:p w:rsidR="00144FFC" w:rsidRDefault="00144FFC" w:rsidP="00144FFC">
            <w:pPr>
              <w:jc w:val="center"/>
            </w:pPr>
            <w:r>
              <w:t>Beoogd aantal deelnemers</w:t>
            </w:r>
          </w:p>
        </w:tc>
        <w:tc>
          <w:tcPr>
            <w:tcW w:w="3537" w:type="dxa"/>
            <w:gridSpan w:val="2"/>
            <w:shd w:val="clear" w:color="auto" w:fill="B8CCE4" w:themeFill="accent1" w:themeFillTint="66"/>
            <w:vAlign w:val="center"/>
          </w:tcPr>
          <w:p w:rsidR="00144FFC" w:rsidRDefault="00144FFC" w:rsidP="00144FFC">
            <w:pPr>
              <w:jc w:val="center"/>
            </w:pPr>
            <w:r>
              <w:t>Kost van de actie</w:t>
            </w:r>
          </w:p>
        </w:tc>
      </w:tr>
      <w:tr w:rsidR="00144FFC" w:rsidTr="00E82741">
        <w:trPr>
          <w:trHeight w:val="338"/>
        </w:trPr>
        <w:tc>
          <w:tcPr>
            <w:tcW w:w="534" w:type="dxa"/>
            <w:vMerge/>
            <w:tcBorders>
              <w:left w:val="nil"/>
            </w:tcBorders>
          </w:tcPr>
          <w:p w:rsidR="00144FFC" w:rsidRDefault="00144FFC" w:rsidP="00144FFC"/>
        </w:tc>
        <w:tc>
          <w:tcPr>
            <w:tcW w:w="1167" w:type="dxa"/>
            <w:vMerge/>
            <w:shd w:val="clear" w:color="auto" w:fill="B8CCE4" w:themeFill="accent1" w:themeFillTint="66"/>
            <w:vAlign w:val="center"/>
          </w:tcPr>
          <w:p w:rsidR="00144FFC" w:rsidRDefault="00144FFC" w:rsidP="00144FFC">
            <w:pPr>
              <w:jc w:val="center"/>
            </w:pPr>
          </w:p>
        </w:tc>
        <w:tc>
          <w:tcPr>
            <w:tcW w:w="5387" w:type="dxa"/>
            <w:vMerge/>
            <w:shd w:val="clear" w:color="auto" w:fill="B8CCE4" w:themeFill="accent1" w:themeFillTint="66"/>
            <w:vAlign w:val="center"/>
          </w:tcPr>
          <w:p w:rsidR="00144FFC" w:rsidRDefault="00144FFC" w:rsidP="00144FFC">
            <w:pPr>
              <w:jc w:val="center"/>
            </w:pPr>
          </w:p>
        </w:tc>
        <w:tc>
          <w:tcPr>
            <w:tcW w:w="1417" w:type="dxa"/>
            <w:vMerge/>
            <w:shd w:val="clear" w:color="auto" w:fill="B8CCE4" w:themeFill="accent1" w:themeFillTint="66"/>
            <w:vAlign w:val="center"/>
          </w:tcPr>
          <w:p w:rsidR="00144FFC" w:rsidRDefault="00144FFC" w:rsidP="00144FFC">
            <w:pPr>
              <w:jc w:val="center"/>
            </w:pPr>
          </w:p>
        </w:tc>
        <w:tc>
          <w:tcPr>
            <w:tcW w:w="2410" w:type="dxa"/>
            <w:vMerge/>
            <w:shd w:val="clear" w:color="auto" w:fill="B8CCE4" w:themeFill="accent1" w:themeFillTint="66"/>
            <w:vAlign w:val="center"/>
          </w:tcPr>
          <w:p w:rsidR="00144FFC" w:rsidRDefault="00144FFC" w:rsidP="00144FFC">
            <w:pPr>
              <w:jc w:val="center"/>
            </w:pPr>
          </w:p>
        </w:tc>
        <w:tc>
          <w:tcPr>
            <w:tcW w:w="1418" w:type="dxa"/>
            <w:vMerge/>
            <w:shd w:val="clear" w:color="auto" w:fill="B8CCE4" w:themeFill="accent1" w:themeFillTint="66"/>
            <w:vAlign w:val="center"/>
          </w:tcPr>
          <w:p w:rsidR="00144FFC" w:rsidRDefault="00144FFC" w:rsidP="00144FFC">
            <w:pPr>
              <w:jc w:val="center"/>
            </w:pPr>
          </w:p>
        </w:tc>
        <w:tc>
          <w:tcPr>
            <w:tcW w:w="1842" w:type="dxa"/>
            <w:shd w:val="clear" w:color="auto" w:fill="B8CCE4" w:themeFill="accent1" w:themeFillTint="66"/>
            <w:vAlign w:val="center"/>
          </w:tcPr>
          <w:p w:rsidR="00144FFC" w:rsidRDefault="00144FFC" w:rsidP="00144FFC">
            <w:pPr>
              <w:jc w:val="center"/>
            </w:pPr>
            <w:r>
              <w:t>Middelen bijkomend project (&lt; RVA)</w:t>
            </w:r>
          </w:p>
        </w:tc>
        <w:tc>
          <w:tcPr>
            <w:tcW w:w="1695" w:type="dxa"/>
            <w:shd w:val="clear" w:color="auto" w:fill="B8CCE4" w:themeFill="accent1" w:themeFillTint="66"/>
            <w:vAlign w:val="center"/>
          </w:tcPr>
          <w:p w:rsidR="00144FFC" w:rsidRDefault="00144FFC" w:rsidP="00144FFC">
            <w:pPr>
              <w:jc w:val="center"/>
            </w:pPr>
            <w:r>
              <w:t>Middelen sector</w:t>
            </w:r>
          </w:p>
        </w:tc>
      </w:tr>
      <w:tr w:rsidR="00144FFC" w:rsidTr="00E82741">
        <w:trPr>
          <w:trHeight w:val="3534"/>
        </w:trPr>
        <w:tc>
          <w:tcPr>
            <w:tcW w:w="534" w:type="dxa"/>
          </w:tcPr>
          <w:p w:rsidR="00144FFC" w:rsidRDefault="00144FFC" w:rsidP="00144FFC">
            <w:r>
              <w:t>1</w:t>
            </w:r>
          </w:p>
        </w:tc>
        <w:tc>
          <w:tcPr>
            <w:tcW w:w="1167" w:type="dxa"/>
          </w:tcPr>
          <w:p w:rsidR="00144FFC" w:rsidRDefault="00144FFC" w:rsidP="00144FFC"/>
          <w:p w:rsidR="00144FFC" w:rsidRDefault="00144FFC" w:rsidP="00144FFC">
            <w:proofErr w:type="spellStart"/>
            <w:r>
              <w:t>Iuvenis</w:t>
            </w:r>
            <w:proofErr w:type="spellEnd"/>
            <w:r>
              <w:t xml:space="preserve"> III</w:t>
            </w:r>
          </w:p>
        </w:tc>
        <w:tc>
          <w:tcPr>
            <w:tcW w:w="5387" w:type="dxa"/>
          </w:tcPr>
          <w:p w:rsidR="00144FFC" w:rsidRDefault="00144FFC" w:rsidP="00144FFC">
            <w:pPr>
              <w:rPr>
                <w:b/>
                <w:lang w:val="nl-NL"/>
              </w:rPr>
            </w:pPr>
          </w:p>
          <w:p w:rsidR="00144FFC" w:rsidRDefault="00144FFC" w:rsidP="00144FFC">
            <w:pPr>
              <w:rPr>
                <w:b/>
                <w:lang w:val="nl-NL"/>
              </w:rPr>
            </w:pPr>
            <w:r>
              <w:rPr>
                <w:b/>
                <w:lang w:val="nl-NL"/>
              </w:rPr>
              <w:t>Met het IUVENIS 3-project wil het Sociaal Fonds 35 jongeren behorende tot risicogroepen begeleiden naar een duurzame tewerkstelling in de autobus- autocarsector.</w:t>
            </w:r>
          </w:p>
          <w:p w:rsidR="00144FFC" w:rsidRDefault="00144FFC" w:rsidP="00144FFC">
            <w:pPr>
              <w:rPr>
                <w:b/>
                <w:lang w:val="nl-NL"/>
              </w:rPr>
            </w:pPr>
          </w:p>
          <w:p w:rsidR="00144FFC" w:rsidRDefault="00144FFC" w:rsidP="00144FFC">
            <w:pPr>
              <w:rPr>
                <w:lang w:val="nl-NL"/>
              </w:rPr>
            </w:pPr>
            <w:r>
              <w:rPr>
                <w:lang w:val="nl-NL"/>
              </w:rPr>
              <w:t xml:space="preserve">Hiermee beoogt het Sociaal Fonds om het aandeel van jongeren, momenteel ondervertegenwoordigd in de sector, te verhogen en tegelijkertijd te werken aan versterking van de instroom om de toenemende vergrijzing in de sector op te vangen. </w:t>
            </w:r>
          </w:p>
          <w:p w:rsidR="00144FFC" w:rsidRDefault="00144FFC" w:rsidP="00144FFC">
            <w:pPr>
              <w:rPr>
                <w:lang w:val="nl-NL"/>
              </w:rPr>
            </w:pPr>
          </w:p>
          <w:p w:rsidR="00E82741" w:rsidRDefault="00E82741" w:rsidP="00144FFC">
            <w:pPr>
              <w:rPr>
                <w:lang w:val="nl-NL"/>
              </w:rPr>
            </w:pPr>
            <w:r>
              <w:rPr>
                <w:lang w:val="nl-NL"/>
              </w:rPr>
              <w:t>Opleidingstraject</w:t>
            </w:r>
          </w:p>
          <w:p w:rsidR="00E82741" w:rsidRDefault="00E82741" w:rsidP="00E82741">
            <w:pPr>
              <w:pStyle w:val="Lijstalinea"/>
              <w:numPr>
                <w:ilvl w:val="0"/>
                <w:numId w:val="11"/>
              </w:numPr>
              <w:rPr>
                <w:lang w:val="nl-NL"/>
              </w:rPr>
            </w:pPr>
            <w:r w:rsidRPr="006E15CF">
              <w:rPr>
                <w:b/>
                <w:u w:val="single"/>
                <w:lang w:val="nl-NL"/>
              </w:rPr>
              <w:t>Screening</w:t>
            </w:r>
            <w:r>
              <w:rPr>
                <w:lang w:val="nl-NL"/>
              </w:rPr>
              <w:t xml:space="preserve"> van de kandidaat door het bedrijf. Komt de jongere, na het behalen van rijbewijs D, in aanmerking voor een duurzame tewerkstelling in het bedrijf?</w:t>
            </w:r>
          </w:p>
          <w:p w:rsidR="00E82741" w:rsidRDefault="00E82741" w:rsidP="00E82741">
            <w:pPr>
              <w:pStyle w:val="Lijstalinea"/>
              <w:numPr>
                <w:ilvl w:val="0"/>
                <w:numId w:val="11"/>
              </w:numPr>
              <w:rPr>
                <w:lang w:val="nl-NL"/>
              </w:rPr>
            </w:pPr>
            <w:r w:rsidRPr="006E15CF">
              <w:rPr>
                <w:b/>
                <w:u w:val="single"/>
                <w:lang w:val="nl-NL"/>
              </w:rPr>
              <w:t>Aanmeldingsformulier</w:t>
            </w:r>
            <w:r>
              <w:rPr>
                <w:lang w:val="nl-NL"/>
              </w:rPr>
              <w:t xml:space="preserve"> en copy van identiteitskaart en rijbewijs bezorgen aan het Sociaal Fonds.</w:t>
            </w:r>
          </w:p>
          <w:p w:rsidR="00E82741" w:rsidRDefault="00E82741" w:rsidP="00E82741">
            <w:pPr>
              <w:pStyle w:val="Lijstalinea"/>
              <w:numPr>
                <w:ilvl w:val="0"/>
                <w:numId w:val="11"/>
              </w:numPr>
              <w:rPr>
                <w:lang w:val="nl-NL"/>
              </w:rPr>
            </w:pPr>
            <w:r>
              <w:rPr>
                <w:lang w:val="nl-NL"/>
              </w:rPr>
              <w:t xml:space="preserve">De kandidaat volgt een </w:t>
            </w:r>
            <w:r w:rsidRPr="006E15CF">
              <w:rPr>
                <w:b/>
                <w:u w:val="single"/>
                <w:lang w:val="nl-NL"/>
              </w:rPr>
              <w:t>theoretische opleiding</w:t>
            </w:r>
            <w:r>
              <w:rPr>
                <w:lang w:val="nl-NL"/>
              </w:rPr>
              <w:t xml:space="preserve"> bij de VDAB of de autorijschool. </w:t>
            </w:r>
          </w:p>
          <w:p w:rsidR="00E82741" w:rsidRDefault="00E82741" w:rsidP="00E82741">
            <w:pPr>
              <w:pStyle w:val="Lijstalinea"/>
              <w:numPr>
                <w:ilvl w:val="0"/>
                <w:numId w:val="11"/>
              </w:numPr>
              <w:rPr>
                <w:lang w:val="nl-NL"/>
              </w:rPr>
            </w:pPr>
            <w:r w:rsidRPr="006E15CF">
              <w:rPr>
                <w:lang w:val="nl-NL"/>
              </w:rPr>
              <w:t>Na het slagen voor de theorie</w:t>
            </w:r>
            <w:r>
              <w:rPr>
                <w:lang w:val="nl-NL"/>
              </w:rPr>
              <w:t xml:space="preserve"> D en vakbekwaamheid</w:t>
            </w:r>
            <w:r w:rsidRPr="006E15CF">
              <w:rPr>
                <w:lang w:val="nl-NL"/>
              </w:rPr>
              <w:t xml:space="preserve"> wordt een </w:t>
            </w:r>
            <w:r w:rsidRPr="006E15CF">
              <w:rPr>
                <w:b/>
                <w:u w:val="single"/>
                <w:lang w:val="nl-NL"/>
              </w:rPr>
              <w:t>IBO-contract</w:t>
            </w:r>
            <w:r w:rsidRPr="006E15CF">
              <w:rPr>
                <w:lang w:val="nl-NL"/>
              </w:rPr>
              <w:t xml:space="preserve"> afgesloten tussen het bedrijf en de kandidaat. Hiervoor zijn reeds leerplannen uitgewerkt voor de verschillende deelsectoren. De gemiddelde duurtijd van de IBO is 13 weken.</w:t>
            </w:r>
          </w:p>
          <w:p w:rsidR="00E82741" w:rsidRDefault="00E82741" w:rsidP="00E82741">
            <w:pPr>
              <w:pStyle w:val="Lijstalinea"/>
              <w:numPr>
                <w:ilvl w:val="0"/>
                <w:numId w:val="11"/>
              </w:numPr>
              <w:rPr>
                <w:lang w:val="nl-NL"/>
              </w:rPr>
            </w:pPr>
            <w:r>
              <w:rPr>
                <w:lang w:val="nl-NL"/>
              </w:rPr>
              <w:t xml:space="preserve">De </w:t>
            </w:r>
            <w:r w:rsidRPr="006E15CF">
              <w:rPr>
                <w:b/>
                <w:u w:val="single"/>
                <w:lang w:val="nl-NL"/>
              </w:rPr>
              <w:t>praktijkopleiding</w:t>
            </w:r>
            <w:r>
              <w:rPr>
                <w:lang w:val="nl-NL"/>
              </w:rPr>
              <w:t xml:space="preserve"> rijbewijs D en vakbekwaamheid worden gegeven door een erkende autorijschool. Het examen wordt afgelegd in een erkend examencentrum van </w:t>
            </w:r>
            <w:r>
              <w:rPr>
                <w:lang w:val="nl-NL"/>
              </w:rPr>
              <w:lastRenderedPageBreak/>
              <w:t>GOCA. De kandidaat start met 24 uren rijles en krijgt, indien nodig, de mogelijkheid tot herkansing van het rijexamen. Het maximum aantal praktijklesuren is 30 uren.</w:t>
            </w:r>
          </w:p>
          <w:p w:rsidR="00E82741" w:rsidRDefault="00E82741" w:rsidP="00E82741">
            <w:pPr>
              <w:pStyle w:val="Lijstalinea"/>
              <w:numPr>
                <w:ilvl w:val="0"/>
                <w:numId w:val="11"/>
              </w:numPr>
              <w:rPr>
                <w:lang w:val="nl-NL"/>
              </w:rPr>
            </w:pPr>
            <w:r>
              <w:rPr>
                <w:lang w:val="nl-NL"/>
              </w:rPr>
              <w:t xml:space="preserve">De IBO kan eventueel ook een opleiding </w:t>
            </w:r>
            <w:proofErr w:type="spellStart"/>
            <w:r>
              <w:rPr>
                <w:lang w:val="nl-NL"/>
              </w:rPr>
              <w:t>Prodata</w:t>
            </w:r>
            <w:proofErr w:type="spellEnd"/>
            <w:r>
              <w:rPr>
                <w:lang w:val="nl-NL"/>
              </w:rPr>
              <w:t xml:space="preserve"> bij De Lijn omvatten.</w:t>
            </w:r>
          </w:p>
          <w:p w:rsidR="00E82741" w:rsidRDefault="00E82741" w:rsidP="00E82741">
            <w:pPr>
              <w:pStyle w:val="Lijstalinea"/>
              <w:numPr>
                <w:ilvl w:val="0"/>
                <w:numId w:val="11"/>
              </w:numPr>
              <w:rPr>
                <w:lang w:val="nl-NL"/>
              </w:rPr>
            </w:pPr>
            <w:r>
              <w:rPr>
                <w:lang w:val="nl-NL"/>
              </w:rPr>
              <w:t xml:space="preserve">Om uitval te vermijden en een goede integratie in de arbeidsmarkt te versterken wordt een </w:t>
            </w:r>
            <w:r w:rsidRPr="006E15CF">
              <w:rPr>
                <w:b/>
                <w:u w:val="single"/>
                <w:lang w:val="nl-NL"/>
              </w:rPr>
              <w:t>opleiding ‘Persoonlijke groei &amp; werkattitude’</w:t>
            </w:r>
            <w:r>
              <w:rPr>
                <w:lang w:val="nl-NL"/>
              </w:rPr>
              <w:t xml:space="preserve"> aangeboden aan alle </w:t>
            </w:r>
            <w:proofErr w:type="spellStart"/>
            <w:r>
              <w:rPr>
                <w:lang w:val="nl-NL"/>
              </w:rPr>
              <w:t>Iuvenis</w:t>
            </w:r>
            <w:proofErr w:type="spellEnd"/>
            <w:r>
              <w:rPr>
                <w:lang w:val="nl-NL"/>
              </w:rPr>
              <w:t>-jongeren.</w:t>
            </w:r>
          </w:p>
          <w:p w:rsidR="00E82741" w:rsidRDefault="00E82741" w:rsidP="00E82741">
            <w:pPr>
              <w:pStyle w:val="Lijstalinea"/>
              <w:numPr>
                <w:ilvl w:val="0"/>
                <w:numId w:val="11"/>
              </w:numPr>
              <w:rPr>
                <w:lang w:val="nl-NL"/>
              </w:rPr>
            </w:pPr>
            <w:r>
              <w:rPr>
                <w:lang w:val="nl-NL"/>
              </w:rPr>
              <w:t xml:space="preserve">Het is uitermate belangrijk dat de kandidaat bijkomend een </w:t>
            </w:r>
            <w:r w:rsidRPr="006E15CF">
              <w:rPr>
                <w:b/>
                <w:u w:val="single"/>
                <w:lang w:val="nl-NL"/>
              </w:rPr>
              <w:t>goede</w:t>
            </w:r>
            <w:r w:rsidRPr="006E15CF">
              <w:rPr>
                <w:u w:val="single"/>
                <w:lang w:val="nl-NL"/>
              </w:rPr>
              <w:t xml:space="preserve"> </w:t>
            </w:r>
            <w:r w:rsidRPr="006E15CF">
              <w:rPr>
                <w:b/>
                <w:u w:val="single"/>
                <w:lang w:val="nl-NL"/>
              </w:rPr>
              <w:t>interne begeleiding</w:t>
            </w:r>
            <w:r>
              <w:rPr>
                <w:lang w:val="nl-NL"/>
              </w:rPr>
              <w:t xml:space="preserve"> krijgt tijdens de IBO. Bij voorkeur wordt de kandidaat begeleid door een peter/meter van het bedrijf.</w:t>
            </w:r>
          </w:p>
          <w:p w:rsidR="00E82741" w:rsidRDefault="00E82741" w:rsidP="00E82741">
            <w:pPr>
              <w:pStyle w:val="Lijstalinea"/>
              <w:numPr>
                <w:ilvl w:val="0"/>
                <w:numId w:val="11"/>
              </w:numPr>
              <w:rPr>
                <w:lang w:val="nl-NL"/>
              </w:rPr>
            </w:pPr>
            <w:r>
              <w:rPr>
                <w:lang w:val="nl-NL"/>
              </w:rPr>
              <w:t xml:space="preserve">Na het positief afronden van de IBO volgt een </w:t>
            </w:r>
            <w:r w:rsidRPr="006E15CF">
              <w:rPr>
                <w:b/>
                <w:u w:val="single"/>
                <w:lang w:val="nl-NL"/>
              </w:rPr>
              <w:t>duurzame tewerkstelling</w:t>
            </w:r>
            <w:r>
              <w:rPr>
                <w:lang w:val="nl-NL"/>
              </w:rPr>
              <w:t>.</w:t>
            </w:r>
          </w:p>
          <w:p w:rsidR="00E82741" w:rsidRPr="00776101" w:rsidRDefault="00E82741" w:rsidP="00144FFC">
            <w:pPr>
              <w:rPr>
                <w:lang w:val="nl-NL"/>
              </w:rPr>
            </w:pPr>
          </w:p>
        </w:tc>
        <w:tc>
          <w:tcPr>
            <w:tcW w:w="1417" w:type="dxa"/>
          </w:tcPr>
          <w:p w:rsidR="00144FFC" w:rsidRPr="001E37D5" w:rsidRDefault="00144FFC" w:rsidP="00144FFC"/>
          <w:p w:rsidR="001E37D5" w:rsidRPr="001E37D5" w:rsidRDefault="00144FFC" w:rsidP="001E37D5">
            <w:r w:rsidRPr="001E37D5">
              <w:t>VDAB</w:t>
            </w:r>
          </w:p>
          <w:p w:rsidR="00144FFC" w:rsidRPr="001E37D5" w:rsidRDefault="00144FFC" w:rsidP="001E37D5">
            <w:proofErr w:type="spellStart"/>
            <w:r w:rsidRPr="001E37D5">
              <w:t>Federdrive</w:t>
            </w:r>
            <w:proofErr w:type="spellEnd"/>
            <w:r w:rsidRPr="001E37D5">
              <w:t xml:space="preserve">: </w:t>
            </w:r>
          </w:p>
        </w:tc>
        <w:tc>
          <w:tcPr>
            <w:tcW w:w="2410" w:type="dxa"/>
          </w:tcPr>
          <w:p w:rsidR="00144FFC" w:rsidRPr="001E37D5" w:rsidRDefault="00144FFC" w:rsidP="00144FFC">
            <w:r w:rsidRPr="001E37D5">
              <w:t xml:space="preserve"> </w:t>
            </w:r>
          </w:p>
          <w:p w:rsidR="00144FFC" w:rsidRDefault="00144FFC" w:rsidP="00144FFC">
            <w:pPr>
              <w:rPr>
                <w:lang w:val="nl-NL"/>
              </w:rPr>
            </w:pPr>
            <w:r>
              <w:t>Jon</w:t>
            </w:r>
            <w:r>
              <w:rPr>
                <w:lang w:val="nl-NL"/>
              </w:rPr>
              <w:t xml:space="preserve">geren behorende tot risicogroepen met een grote interesse in het beroep en motivatie om de nodige competenties te verwerven. </w:t>
            </w:r>
          </w:p>
          <w:p w:rsidR="00144FFC" w:rsidRDefault="00144FFC" w:rsidP="00144FFC">
            <w:pPr>
              <w:rPr>
                <w:lang w:val="nl-NL"/>
              </w:rPr>
            </w:pPr>
          </w:p>
          <w:p w:rsidR="00144FFC" w:rsidRDefault="00144FFC" w:rsidP="00144FFC">
            <w:pPr>
              <w:rPr>
                <w:lang w:val="nl-NL"/>
              </w:rPr>
            </w:pPr>
            <w:r>
              <w:rPr>
                <w:lang w:val="nl-NL"/>
              </w:rPr>
              <w:t>Extra voorwaarden:</w:t>
            </w:r>
          </w:p>
          <w:p w:rsidR="00144FFC" w:rsidRDefault="00144FFC" w:rsidP="00144FFC">
            <w:pPr>
              <w:pStyle w:val="Lijstalinea"/>
              <w:numPr>
                <w:ilvl w:val="0"/>
                <w:numId w:val="3"/>
              </w:numPr>
              <w:rPr>
                <w:lang w:val="nl-NL"/>
              </w:rPr>
            </w:pPr>
            <w:r w:rsidRPr="005831A9">
              <w:rPr>
                <w:lang w:val="nl-NL"/>
              </w:rPr>
              <w:t xml:space="preserve">&lt; 26 jaar </w:t>
            </w:r>
          </w:p>
          <w:p w:rsidR="00144FFC" w:rsidRPr="005831A9" w:rsidRDefault="00144FFC" w:rsidP="00144FFC">
            <w:pPr>
              <w:pStyle w:val="Lijstalinea"/>
              <w:numPr>
                <w:ilvl w:val="0"/>
                <w:numId w:val="3"/>
              </w:numPr>
              <w:rPr>
                <w:lang w:val="nl-NL"/>
              </w:rPr>
            </w:pPr>
            <w:r w:rsidRPr="005831A9">
              <w:rPr>
                <w:lang w:val="nl-NL"/>
              </w:rPr>
              <w:t>geldig rijbewijs B</w:t>
            </w:r>
          </w:p>
          <w:p w:rsidR="00144FFC" w:rsidRPr="005831A9" w:rsidRDefault="00144FFC" w:rsidP="00144FFC">
            <w:pPr>
              <w:pStyle w:val="Lijstalinea"/>
              <w:numPr>
                <w:ilvl w:val="0"/>
                <w:numId w:val="3"/>
              </w:numPr>
              <w:rPr>
                <w:lang w:val="nl-NL"/>
              </w:rPr>
            </w:pPr>
            <w:r w:rsidRPr="005831A9">
              <w:rPr>
                <w:lang w:val="nl-NL"/>
              </w:rPr>
              <w:t>ingeschreven als werkzoekende</w:t>
            </w:r>
            <w:r>
              <w:rPr>
                <w:lang w:val="nl-NL"/>
              </w:rPr>
              <w:t xml:space="preserve"> bij de VDAB</w:t>
            </w:r>
          </w:p>
          <w:p w:rsidR="00144FFC" w:rsidRPr="005831A9" w:rsidRDefault="00144FFC" w:rsidP="00144FFC">
            <w:pPr>
              <w:pStyle w:val="Lijstalinea"/>
              <w:numPr>
                <w:ilvl w:val="0"/>
                <w:numId w:val="3"/>
              </w:numPr>
              <w:rPr>
                <w:lang w:val="nl-NL"/>
              </w:rPr>
            </w:pPr>
            <w:r>
              <w:rPr>
                <w:lang w:val="nl-NL"/>
              </w:rPr>
              <w:t>komt in aan</w:t>
            </w:r>
            <w:r w:rsidRPr="005831A9">
              <w:rPr>
                <w:lang w:val="nl-NL"/>
              </w:rPr>
              <w:t>merking voor een IBO</w:t>
            </w:r>
          </w:p>
          <w:p w:rsidR="00144FFC" w:rsidRPr="005831A9" w:rsidRDefault="00144FFC" w:rsidP="00144FFC">
            <w:pPr>
              <w:rPr>
                <w:lang w:val="nl-NL"/>
              </w:rPr>
            </w:pPr>
          </w:p>
        </w:tc>
        <w:tc>
          <w:tcPr>
            <w:tcW w:w="1418" w:type="dxa"/>
          </w:tcPr>
          <w:p w:rsidR="00144FFC" w:rsidRDefault="00144FFC" w:rsidP="00144FFC"/>
          <w:p w:rsidR="00144FFC" w:rsidRPr="005831A9" w:rsidRDefault="00144FFC" w:rsidP="00144FFC">
            <w:r>
              <w:t xml:space="preserve">35 </w:t>
            </w:r>
            <w:r w:rsidRPr="005831A9">
              <w:t>jongeren</w:t>
            </w:r>
          </w:p>
        </w:tc>
        <w:tc>
          <w:tcPr>
            <w:tcW w:w="1842" w:type="dxa"/>
          </w:tcPr>
          <w:p w:rsidR="00144FFC" w:rsidRDefault="00144FFC" w:rsidP="00144FFC">
            <w:pPr>
              <w:rPr>
                <w:lang w:val="nl-NL"/>
              </w:rPr>
            </w:pPr>
          </w:p>
          <w:p w:rsidR="00144FFC" w:rsidRDefault="00144FFC" w:rsidP="00144FFC">
            <w:r w:rsidRPr="00BE5186">
              <w:rPr>
                <w:lang w:val="nl-NL"/>
              </w:rPr>
              <w:t>€ 194.040</w:t>
            </w:r>
          </w:p>
        </w:tc>
        <w:tc>
          <w:tcPr>
            <w:tcW w:w="1695" w:type="dxa"/>
          </w:tcPr>
          <w:p w:rsidR="00E82741" w:rsidRDefault="00E82741" w:rsidP="00E82741">
            <w:pPr>
              <w:pStyle w:val="Geenafstand"/>
              <w:rPr>
                <w:lang w:val="nl-NL"/>
              </w:rPr>
            </w:pPr>
          </w:p>
          <w:p w:rsidR="00144FFC" w:rsidRPr="00E82741" w:rsidRDefault="00E82741" w:rsidP="00E82741">
            <w:pPr>
              <w:pStyle w:val="Geenafstand"/>
              <w:rPr>
                <w:lang w:val="nl-NL"/>
              </w:rPr>
            </w:pPr>
            <w:r>
              <w:rPr>
                <w:lang w:val="nl-NL"/>
              </w:rPr>
              <w:t>-</w:t>
            </w:r>
            <w:r w:rsidR="00144FFC" w:rsidRPr="00E82741">
              <w:rPr>
                <w:lang w:val="nl-NL"/>
              </w:rPr>
              <w:t>Interne begeleiding (peter/meter)</w:t>
            </w:r>
          </w:p>
          <w:p w:rsidR="00E82741" w:rsidRDefault="00E82741" w:rsidP="00E82741">
            <w:pPr>
              <w:pStyle w:val="Geenafstand"/>
              <w:rPr>
                <w:lang w:val="nl-NL"/>
              </w:rPr>
            </w:pPr>
          </w:p>
          <w:p w:rsidR="00144FFC" w:rsidRPr="00E82741" w:rsidRDefault="00E82741" w:rsidP="00E82741">
            <w:pPr>
              <w:pStyle w:val="Geenafstand"/>
              <w:rPr>
                <w:lang w:val="nl-NL"/>
              </w:rPr>
            </w:pPr>
            <w:r>
              <w:rPr>
                <w:lang w:val="nl-NL"/>
              </w:rPr>
              <w:t>-</w:t>
            </w:r>
            <w:r w:rsidR="00144FFC" w:rsidRPr="00E82741">
              <w:rPr>
                <w:lang w:val="nl-NL"/>
              </w:rPr>
              <w:t>Productiviteits</w:t>
            </w:r>
            <w:r>
              <w:rPr>
                <w:lang w:val="nl-NL"/>
              </w:rPr>
              <w:t>-</w:t>
            </w:r>
            <w:r w:rsidR="00144FFC" w:rsidRPr="00E82741">
              <w:rPr>
                <w:lang w:val="nl-NL"/>
              </w:rPr>
              <w:t>premie IBO</w:t>
            </w:r>
          </w:p>
          <w:p w:rsidR="00144FFC" w:rsidRDefault="00144FFC" w:rsidP="00144FFC"/>
        </w:tc>
      </w:tr>
      <w:tr w:rsidR="00144FFC" w:rsidTr="00E82741">
        <w:trPr>
          <w:trHeight w:val="279"/>
        </w:trPr>
        <w:tc>
          <w:tcPr>
            <w:tcW w:w="10915" w:type="dxa"/>
            <w:gridSpan w:val="5"/>
            <w:tcBorders>
              <w:left w:val="nil"/>
              <w:bottom w:val="nil"/>
            </w:tcBorders>
          </w:tcPr>
          <w:p w:rsidR="00144FFC" w:rsidRPr="001E37D5" w:rsidRDefault="00144FFC" w:rsidP="00144FFC">
            <w:pPr>
              <w:jc w:val="right"/>
              <w:rPr>
                <w:sz w:val="30"/>
                <w:szCs w:val="30"/>
              </w:rPr>
            </w:pPr>
            <w:r w:rsidRPr="001E37D5">
              <w:rPr>
                <w:sz w:val="30"/>
                <w:szCs w:val="30"/>
              </w:rPr>
              <w:lastRenderedPageBreak/>
              <w:t>Totaal</w:t>
            </w:r>
          </w:p>
        </w:tc>
        <w:tc>
          <w:tcPr>
            <w:tcW w:w="1418" w:type="dxa"/>
          </w:tcPr>
          <w:p w:rsidR="00144FFC" w:rsidRDefault="00144FFC" w:rsidP="00144FFC">
            <w:r>
              <w:t>35 jongeren</w:t>
            </w:r>
          </w:p>
        </w:tc>
        <w:tc>
          <w:tcPr>
            <w:tcW w:w="1842" w:type="dxa"/>
          </w:tcPr>
          <w:p w:rsidR="00144FFC" w:rsidRDefault="00144FFC" w:rsidP="00144FFC">
            <w:r>
              <w:t>€ 194.040</w:t>
            </w:r>
          </w:p>
        </w:tc>
        <w:tc>
          <w:tcPr>
            <w:tcW w:w="1695" w:type="dxa"/>
          </w:tcPr>
          <w:p w:rsidR="00144FFC" w:rsidRDefault="00144FFC" w:rsidP="00144FFC"/>
        </w:tc>
      </w:tr>
    </w:tbl>
    <w:p w:rsidR="00144FFC" w:rsidRPr="00144FFC" w:rsidRDefault="00144FFC" w:rsidP="00144FFC">
      <w:pPr>
        <w:pStyle w:val="Lijstalinea"/>
        <w:numPr>
          <w:ilvl w:val="0"/>
          <w:numId w:val="10"/>
        </w:numPr>
        <w:rPr>
          <w:lang w:val="fr-BE"/>
        </w:rPr>
      </w:pPr>
    </w:p>
    <w:sectPr w:rsidR="00144FFC" w:rsidRPr="00144FFC" w:rsidSect="004A0B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147C"/>
    <w:multiLevelType w:val="hybridMultilevel"/>
    <w:tmpl w:val="CCFECD9A"/>
    <w:lvl w:ilvl="0" w:tplc="D66C6BD2">
      <w:start w:val="35"/>
      <w:numFmt w:val="bullet"/>
      <w:lvlText w:val="-"/>
      <w:lvlJc w:val="left"/>
      <w:pPr>
        <w:ind w:left="1070" w:hanging="360"/>
      </w:pPr>
      <w:rPr>
        <w:rFonts w:ascii="Calibri" w:eastAsiaTheme="minorHAnsi" w:hAnsi="Calibri" w:cstheme="minorBid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
    <w:nsid w:val="197D104B"/>
    <w:multiLevelType w:val="hybridMultilevel"/>
    <w:tmpl w:val="F0904BB4"/>
    <w:lvl w:ilvl="0" w:tplc="AF8C1786">
      <w:start w:val="3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F0583A"/>
    <w:multiLevelType w:val="hybridMultilevel"/>
    <w:tmpl w:val="082A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22DF9"/>
    <w:multiLevelType w:val="hybridMultilevel"/>
    <w:tmpl w:val="A89C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076F01"/>
    <w:multiLevelType w:val="hybridMultilevel"/>
    <w:tmpl w:val="71565500"/>
    <w:lvl w:ilvl="0" w:tplc="8DC2DBB0">
      <w:start w:val="3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E52CD0"/>
    <w:multiLevelType w:val="hybridMultilevel"/>
    <w:tmpl w:val="C5329C5E"/>
    <w:lvl w:ilvl="0" w:tplc="5498D100">
      <w:start w:val="1"/>
      <w:numFmt w:val="bullet"/>
      <w:lvlText w:val="•"/>
      <w:lvlJc w:val="left"/>
      <w:pPr>
        <w:tabs>
          <w:tab w:val="num" w:pos="360"/>
        </w:tabs>
        <w:ind w:left="360" w:hanging="360"/>
      </w:pPr>
      <w:rPr>
        <w:rFonts w:ascii="Arial" w:hAnsi="Arial" w:hint="default"/>
      </w:rPr>
    </w:lvl>
    <w:lvl w:ilvl="1" w:tplc="8744D62C" w:tentative="1">
      <w:start w:val="1"/>
      <w:numFmt w:val="bullet"/>
      <w:lvlText w:val="•"/>
      <w:lvlJc w:val="left"/>
      <w:pPr>
        <w:tabs>
          <w:tab w:val="num" w:pos="1080"/>
        </w:tabs>
        <w:ind w:left="1080" w:hanging="360"/>
      </w:pPr>
      <w:rPr>
        <w:rFonts w:ascii="Arial" w:hAnsi="Arial" w:hint="default"/>
      </w:rPr>
    </w:lvl>
    <w:lvl w:ilvl="2" w:tplc="CEC03B70" w:tentative="1">
      <w:start w:val="1"/>
      <w:numFmt w:val="bullet"/>
      <w:lvlText w:val="•"/>
      <w:lvlJc w:val="left"/>
      <w:pPr>
        <w:tabs>
          <w:tab w:val="num" w:pos="1800"/>
        </w:tabs>
        <w:ind w:left="1800" w:hanging="360"/>
      </w:pPr>
      <w:rPr>
        <w:rFonts w:ascii="Arial" w:hAnsi="Arial" w:hint="default"/>
      </w:rPr>
    </w:lvl>
    <w:lvl w:ilvl="3" w:tplc="998070B8" w:tentative="1">
      <w:start w:val="1"/>
      <w:numFmt w:val="bullet"/>
      <w:lvlText w:val="•"/>
      <w:lvlJc w:val="left"/>
      <w:pPr>
        <w:tabs>
          <w:tab w:val="num" w:pos="2520"/>
        </w:tabs>
        <w:ind w:left="2520" w:hanging="360"/>
      </w:pPr>
      <w:rPr>
        <w:rFonts w:ascii="Arial" w:hAnsi="Arial" w:hint="default"/>
      </w:rPr>
    </w:lvl>
    <w:lvl w:ilvl="4" w:tplc="E19CC770" w:tentative="1">
      <w:start w:val="1"/>
      <w:numFmt w:val="bullet"/>
      <w:lvlText w:val="•"/>
      <w:lvlJc w:val="left"/>
      <w:pPr>
        <w:tabs>
          <w:tab w:val="num" w:pos="3240"/>
        </w:tabs>
        <w:ind w:left="3240" w:hanging="360"/>
      </w:pPr>
      <w:rPr>
        <w:rFonts w:ascii="Arial" w:hAnsi="Arial" w:hint="default"/>
      </w:rPr>
    </w:lvl>
    <w:lvl w:ilvl="5" w:tplc="94B67EE6" w:tentative="1">
      <w:start w:val="1"/>
      <w:numFmt w:val="bullet"/>
      <w:lvlText w:val="•"/>
      <w:lvlJc w:val="left"/>
      <w:pPr>
        <w:tabs>
          <w:tab w:val="num" w:pos="3960"/>
        </w:tabs>
        <w:ind w:left="3960" w:hanging="360"/>
      </w:pPr>
      <w:rPr>
        <w:rFonts w:ascii="Arial" w:hAnsi="Arial" w:hint="default"/>
      </w:rPr>
    </w:lvl>
    <w:lvl w:ilvl="6" w:tplc="A61C11C0" w:tentative="1">
      <w:start w:val="1"/>
      <w:numFmt w:val="bullet"/>
      <w:lvlText w:val="•"/>
      <w:lvlJc w:val="left"/>
      <w:pPr>
        <w:tabs>
          <w:tab w:val="num" w:pos="4680"/>
        </w:tabs>
        <w:ind w:left="4680" w:hanging="360"/>
      </w:pPr>
      <w:rPr>
        <w:rFonts w:ascii="Arial" w:hAnsi="Arial" w:hint="default"/>
      </w:rPr>
    </w:lvl>
    <w:lvl w:ilvl="7" w:tplc="552280F6" w:tentative="1">
      <w:start w:val="1"/>
      <w:numFmt w:val="bullet"/>
      <w:lvlText w:val="•"/>
      <w:lvlJc w:val="left"/>
      <w:pPr>
        <w:tabs>
          <w:tab w:val="num" w:pos="5400"/>
        </w:tabs>
        <w:ind w:left="5400" w:hanging="360"/>
      </w:pPr>
      <w:rPr>
        <w:rFonts w:ascii="Arial" w:hAnsi="Arial" w:hint="default"/>
      </w:rPr>
    </w:lvl>
    <w:lvl w:ilvl="8" w:tplc="E6EA38F4" w:tentative="1">
      <w:start w:val="1"/>
      <w:numFmt w:val="bullet"/>
      <w:lvlText w:val="•"/>
      <w:lvlJc w:val="left"/>
      <w:pPr>
        <w:tabs>
          <w:tab w:val="num" w:pos="6120"/>
        </w:tabs>
        <w:ind w:left="6120" w:hanging="360"/>
      </w:pPr>
      <w:rPr>
        <w:rFonts w:ascii="Arial" w:hAnsi="Arial" w:hint="default"/>
      </w:rPr>
    </w:lvl>
  </w:abstractNum>
  <w:abstractNum w:abstractNumId="6">
    <w:nsid w:val="442B653D"/>
    <w:multiLevelType w:val="hybridMultilevel"/>
    <w:tmpl w:val="6DE67A5C"/>
    <w:lvl w:ilvl="0" w:tplc="5534353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65619E"/>
    <w:multiLevelType w:val="hybridMultilevel"/>
    <w:tmpl w:val="52027292"/>
    <w:lvl w:ilvl="0" w:tplc="6450D1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F1737C"/>
    <w:multiLevelType w:val="hybridMultilevel"/>
    <w:tmpl w:val="9BB2A9B6"/>
    <w:lvl w:ilvl="0" w:tplc="8DC2DBB0">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30582"/>
    <w:multiLevelType w:val="hybridMultilevel"/>
    <w:tmpl w:val="96C68E6C"/>
    <w:lvl w:ilvl="0" w:tplc="0E84599E">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5"/>
  </w:num>
  <w:num w:numId="5">
    <w:abstractNumId w:val="6"/>
  </w:num>
  <w:num w:numId="6">
    <w:abstractNumId w:val="9"/>
  </w:num>
  <w:num w:numId="7">
    <w:abstractNumId w:val="8"/>
  </w:num>
  <w:num w:numId="8">
    <w:abstractNumId w:val="4"/>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40"/>
    <w:rsid w:val="0001357A"/>
    <w:rsid w:val="00142309"/>
    <w:rsid w:val="00144FFC"/>
    <w:rsid w:val="001E37D5"/>
    <w:rsid w:val="00270804"/>
    <w:rsid w:val="002C707A"/>
    <w:rsid w:val="003B3BEA"/>
    <w:rsid w:val="004A0B40"/>
    <w:rsid w:val="00575012"/>
    <w:rsid w:val="005831A9"/>
    <w:rsid w:val="00776101"/>
    <w:rsid w:val="007A4849"/>
    <w:rsid w:val="00A346B0"/>
    <w:rsid w:val="00BE5186"/>
    <w:rsid w:val="00E827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4F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31A9"/>
    <w:pPr>
      <w:spacing w:before="100"/>
      <w:ind w:left="720"/>
      <w:contextualSpacing/>
    </w:pPr>
    <w:rPr>
      <w:rFonts w:eastAsiaTheme="minorEastAsia"/>
      <w:sz w:val="20"/>
      <w:szCs w:val="20"/>
      <w:lang w:val="en-US"/>
    </w:rPr>
  </w:style>
  <w:style w:type="paragraph" w:styleId="Geenafstand">
    <w:name w:val="No Spacing"/>
    <w:uiPriority w:val="1"/>
    <w:qFormat/>
    <w:rsid w:val="00BE5186"/>
    <w:pPr>
      <w:spacing w:after="0" w:line="240" w:lineRule="auto"/>
    </w:pPr>
  </w:style>
  <w:style w:type="character" w:customStyle="1" w:styleId="Kop1Char">
    <w:name w:val="Kop 1 Char"/>
    <w:basedOn w:val="Standaardalinea-lettertype"/>
    <w:link w:val="Kop1"/>
    <w:uiPriority w:val="9"/>
    <w:rsid w:val="00144FFC"/>
    <w:rPr>
      <w:rFonts w:eastAsiaTheme="minorEastAsia"/>
      <w:caps/>
      <w:color w:val="FFFFFF" w:themeColor="background1"/>
      <w:spacing w:val="15"/>
      <w:shd w:val="clear" w:color="auto" w:fill="4F81BD" w:themeFill="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44F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31A9"/>
    <w:pPr>
      <w:spacing w:before="100"/>
      <w:ind w:left="720"/>
      <w:contextualSpacing/>
    </w:pPr>
    <w:rPr>
      <w:rFonts w:eastAsiaTheme="minorEastAsia"/>
      <w:sz w:val="20"/>
      <w:szCs w:val="20"/>
      <w:lang w:val="en-US"/>
    </w:rPr>
  </w:style>
  <w:style w:type="paragraph" w:styleId="Geenafstand">
    <w:name w:val="No Spacing"/>
    <w:uiPriority w:val="1"/>
    <w:qFormat/>
    <w:rsid w:val="00BE5186"/>
    <w:pPr>
      <w:spacing w:after="0" w:line="240" w:lineRule="auto"/>
    </w:pPr>
  </w:style>
  <w:style w:type="character" w:customStyle="1" w:styleId="Kop1Char">
    <w:name w:val="Kop 1 Char"/>
    <w:basedOn w:val="Standaardalinea-lettertype"/>
    <w:link w:val="Kop1"/>
    <w:uiPriority w:val="9"/>
    <w:rsid w:val="00144FFC"/>
    <w:rPr>
      <w:rFonts w:eastAsiaTheme="minorEastAsia"/>
      <w:caps/>
      <w:color w:val="FFFFFF" w:themeColor="background1"/>
      <w:spacing w:val="15"/>
      <w:shd w:val="clear" w:color="auto" w:fill="4F81BD" w:themeFill="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402">
      <w:bodyDiv w:val="1"/>
      <w:marLeft w:val="0"/>
      <w:marRight w:val="0"/>
      <w:marTop w:val="0"/>
      <w:marBottom w:val="0"/>
      <w:divBdr>
        <w:top w:val="none" w:sz="0" w:space="0" w:color="auto"/>
        <w:left w:val="none" w:sz="0" w:space="0" w:color="auto"/>
        <w:bottom w:val="none" w:sz="0" w:space="0" w:color="auto"/>
        <w:right w:val="none" w:sz="0" w:space="0" w:color="auto"/>
      </w:divBdr>
    </w:div>
    <w:div w:id="1203862739">
      <w:bodyDiv w:val="1"/>
      <w:marLeft w:val="0"/>
      <w:marRight w:val="0"/>
      <w:marTop w:val="0"/>
      <w:marBottom w:val="0"/>
      <w:divBdr>
        <w:top w:val="none" w:sz="0" w:space="0" w:color="auto"/>
        <w:left w:val="none" w:sz="0" w:space="0" w:color="auto"/>
        <w:bottom w:val="none" w:sz="0" w:space="0" w:color="auto"/>
        <w:right w:val="none" w:sz="0" w:space="0" w:color="auto"/>
      </w:divBdr>
    </w:div>
    <w:div w:id="1484809956">
      <w:bodyDiv w:val="1"/>
      <w:marLeft w:val="0"/>
      <w:marRight w:val="0"/>
      <w:marTop w:val="0"/>
      <w:marBottom w:val="0"/>
      <w:divBdr>
        <w:top w:val="none" w:sz="0" w:space="0" w:color="auto"/>
        <w:left w:val="none" w:sz="0" w:space="0" w:color="auto"/>
        <w:bottom w:val="none" w:sz="0" w:space="0" w:color="auto"/>
        <w:right w:val="none" w:sz="0" w:space="0" w:color="auto"/>
      </w:divBdr>
      <w:divsChild>
        <w:div w:id="618219235">
          <w:marLeft w:val="288"/>
          <w:marRight w:val="0"/>
          <w:marTop w:val="240"/>
          <w:marBottom w:val="0"/>
          <w:divBdr>
            <w:top w:val="none" w:sz="0" w:space="0" w:color="auto"/>
            <w:left w:val="none" w:sz="0" w:space="0" w:color="auto"/>
            <w:bottom w:val="none" w:sz="0" w:space="0" w:color="auto"/>
            <w:right w:val="none" w:sz="0" w:space="0" w:color="auto"/>
          </w:divBdr>
        </w:div>
        <w:div w:id="792988174">
          <w:marLeft w:val="288"/>
          <w:marRight w:val="0"/>
          <w:marTop w:val="240"/>
          <w:marBottom w:val="0"/>
          <w:divBdr>
            <w:top w:val="none" w:sz="0" w:space="0" w:color="auto"/>
            <w:left w:val="none" w:sz="0" w:space="0" w:color="auto"/>
            <w:bottom w:val="none" w:sz="0" w:space="0" w:color="auto"/>
            <w:right w:val="none" w:sz="0" w:space="0" w:color="auto"/>
          </w:divBdr>
        </w:div>
      </w:divsChild>
    </w:div>
    <w:div w:id="1877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384</Words>
  <Characters>2114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SCHEERLINCK Frederik</cp:lastModifiedBy>
  <cp:revision>7</cp:revision>
  <dcterms:created xsi:type="dcterms:W3CDTF">2018-02-06T08:05:00Z</dcterms:created>
  <dcterms:modified xsi:type="dcterms:W3CDTF">2018-03-29T07:33:00Z</dcterms:modified>
</cp:coreProperties>
</file>