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12" w:rsidRPr="000207D3" w:rsidRDefault="00575012">
      <w:pPr>
        <w:rPr>
          <w:u w:val="single"/>
          <w:lang w:val="fr-BE"/>
        </w:rPr>
      </w:pPr>
    </w:p>
    <w:tbl>
      <w:tblPr>
        <w:tblStyle w:val="Tabelraster"/>
        <w:tblpPr w:leftFromText="141" w:rightFromText="141" w:vertAnchor="page" w:horzAnchor="margin" w:tblpXSpec="center" w:tblpY="1515"/>
        <w:tblW w:w="15870" w:type="dxa"/>
        <w:tblLayout w:type="fixed"/>
        <w:tblLook w:val="04A0" w:firstRow="1" w:lastRow="0" w:firstColumn="1" w:lastColumn="0" w:noHBand="0" w:noVBand="1"/>
      </w:tblPr>
      <w:tblGrid>
        <w:gridCol w:w="534"/>
        <w:gridCol w:w="1842"/>
        <w:gridCol w:w="3402"/>
        <w:gridCol w:w="1560"/>
        <w:gridCol w:w="1984"/>
        <w:gridCol w:w="2268"/>
        <w:gridCol w:w="2268"/>
        <w:gridCol w:w="2012"/>
      </w:tblGrid>
      <w:tr w:rsidR="00604C42" w:rsidRPr="000207D3" w:rsidTr="00604C42">
        <w:trPr>
          <w:trHeight w:val="338"/>
        </w:trPr>
        <w:tc>
          <w:tcPr>
            <w:tcW w:w="534" w:type="dxa"/>
            <w:vMerge w:val="restart"/>
            <w:tcBorders>
              <w:top w:val="nil"/>
              <w:left w:val="nil"/>
            </w:tcBorders>
          </w:tcPr>
          <w:p w:rsidR="00604C42" w:rsidRPr="000207D3" w:rsidRDefault="00604C42" w:rsidP="00604C42">
            <w:pPr>
              <w:rPr>
                <w:lang w:val="fr-BE"/>
              </w:rPr>
            </w:pPr>
          </w:p>
        </w:tc>
        <w:tc>
          <w:tcPr>
            <w:tcW w:w="1842" w:type="dxa"/>
            <w:vMerge w:val="restart"/>
            <w:shd w:val="clear" w:color="auto" w:fill="B8CCE4" w:themeFill="accent1" w:themeFillTint="66"/>
            <w:vAlign w:val="center"/>
          </w:tcPr>
          <w:p w:rsidR="00604C42" w:rsidRPr="000207D3" w:rsidRDefault="00604C42" w:rsidP="00604C42">
            <w:pPr>
              <w:jc w:val="center"/>
              <w:rPr>
                <w:lang w:val="fr-BE"/>
              </w:rPr>
            </w:pPr>
            <w:r w:rsidRPr="000207D3">
              <w:rPr>
                <w:lang w:val="fr-BE"/>
              </w:rPr>
              <w:t>Intitulé de l'action</w:t>
            </w:r>
          </w:p>
        </w:tc>
        <w:tc>
          <w:tcPr>
            <w:tcW w:w="3402" w:type="dxa"/>
            <w:vMerge w:val="restart"/>
            <w:shd w:val="clear" w:color="auto" w:fill="B8CCE4" w:themeFill="accent1" w:themeFillTint="66"/>
            <w:vAlign w:val="center"/>
          </w:tcPr>
          <w:p w:rsidR="00604C42" w:rsidRPr="000207D3" w:rsidRDefault="00604C42" w:rsidP="00604C42">
            <w:pPr>
              <w:jc w:val="center"/>
              <w:rPr>
                <w:lang w:val="fr-BE"/>
              </w:rPr>
            </w:pPr>
            <w:r w:rsidRPr="000207D3">
              <w:rPr>
                <w:lang w:val="fr-BE"/>
              </w:rPr>
              <w:t>Objectifs poursuivis</w:t>
            </w:r>
          </w:p>
        </w:tc>
        <w:tc>
          <w:tcPr>
            <w:tcW w:w="1560" w:type="dxa"/>
            <w:vMerge w:val="restart"/>
            <w:shd w:val="clear" w:color="auto" w:fill="B8CCE4" w:themeFill="accent1" w:themeFillTint="66"/>
            <w:vAlign w:val="center"/>
          </w:tcPr>
          <w:p w:rsidR="00604C42" w:rsidRPr="000207D3" w:rsidRDefault="00604C42" w:rsidP="00604C42">
            <w:pPr>
              <w:jc w:val="center"/>
              <w:rPr>
                <w:lang w:val="fr-BE"/>
              </w:rPr>
            </w:pPr>
            <w:r w:rsidRPr="000207D3">
              <w:rPr>
                <w:lang w:val="fr-BE"/>
              </w:rPr>
              <w:t>Collaboration (s) avec… (d’autres organisations)</w:t>
            </w:r>
          </w:p>
        </w:tc>
        <w:tc>
          <w:tcPr>
            <w:tcW w:w="1984" w:type="dxa"/>
            <w:vMerge w:val="restart"/>
            <w:shd w:val="clear" w:color="auto" w:fill="B8CCE4" w:themeFill="accent1" w:themeFillTint="66"/>
            <w:vAlign w:val="center"/>
          </w:tcPr>
          <w:p w:rsidR="00604C42" w:rsidRPr="000207D3" w:rsidRDefault="00604C42" w:rsidP="00604C42">
            <w:pPr>
              <w:jc w:val="center"/>
              <w:rPr>
                <w:lang w:val="fr-BE"/>
              </w:rPr>
            </w:pPr>
            <w:r w:rsidRPr="000207D3">
              <w:rPr>
                <w:lang w:val="fr-BE"/>
              </w:rPr>
              <w:t>Groupe cible</w:t>
            </w:r>
          </w:p>
        </w:tc>
        <w:tc>
          <w:tcPr>
            <w:tcW w:w="2268" w:type="dxa"/>
            <w:vMerge w:val="restart"/>
            <w:shd w:val="clear" w:color="auto" w:fill="B8CCE4" w:themeFill="accent1" w:themeFillTint="66"/>
            <w:vAlign w:val="center"/>
          </w:tcPr>
          <w:p w:rsidR="00604C42" w:rsidRPr="000207D3" w:rsidRDefault="00604C42" w:rsidP="00604C42">
            <w:pPr>
              <w:jc w:val="center"/>
              <w:rPr>
                <w:lang w:val="fr-BE"/>
              </w:rPr>
            </w:pPr>
            <w:r w:rsidRPr="000207D3">
              <w:rPr>
                <w:lang w:val="fr-BE"/>
              </w:rPr>
              <w:t>Nombre de participants envisagé</w:t>
            </w:r>
          </w:p>
        </w:tc>
        <w:tc>
          <w:tcPr>
            <w:tcW w:w="4280" w:type="dxa"/>
            <w:gridSpan w:val="2"/>
            <w:shd w:val="clear" w:color="auto" w:fill="B8CCE4" w:themeFill="accent1" w:themeFillTint="66"/>
            <w:vAlign w:val="center"/>
          </w:tcPr>
          <w:p w:rsidR="00604C42" w:rsidRPr="000207D3" w:rsidRDefault="00604C42" w:rsidP="00604C42">
            <w:pPr>
              <w:jc w:val="center"/>
              <w:rPr>
                <w:lang w:val="fr-BE"/>
              </w:rPr>
            </w:pPr>
            <w:r w:rsidRPr="000207D3">
              <w:rPr>
                <w:lang w:val="fr-BE"/>
              </w:rPr>
              <w:t>Coût de l'action</w:t>
            </w:r>
          </w:p>
        </w:tc>
      </w:tr>
      <w:tr w:rsidR="00604C42" w:rsidRPr="000207D3" w:rsidTr="00604C42">
        <w:trPr>
          <w:trHeight w:val="338"/>
        </w:trPr>
        <w:tc>
          <w:tcPr>
            <w:tcW w:w="534" w:type="dxa"/>
            <w:vMerge/>
            <w:tcBorders>
              <w:left w:val="nil"/>
            </w:tcBorders>
          </w:tcPr>
          <w:p w:rsidR="00604C42" w:rsidRPr="000207D3" w:rsidRDefault="00604C42" w:rsidP="00604C42">
            <w:pPr>
              <w:rPr>
                <w:lang w:val="fr-BE"/>
              </w:rPr>
            </w:pPr>
          </w:p>
        </w:tc>
        <w:tc>
          <w:tcPr>
            <w:tcW w:w="1842" w:type="dxa"/>
            <w:vMerge/>
            <w:shd w:val="clear" w:color="auto" w:fill="B8CCE4" w:themeFill="accent1" w:themeFillTint="66"/>
            <w:vAlign w:val="center"/>
          </w:tcPr>
          <w:p w:rsidR="00604C42" w:rsidRPr="000207D3" w:rsidRDefault="00604C42" w:rsidP="00604C42">
            <w:pPr>
              <w:jc w:val="center"/>
              <w:rPr>
                <w:lang w:val="fr-BE"/>
              </w:rPr>
            </w:pPr>
          </w:p>
        </w:tc>
        <w:tc>
          <w:tcPr>
            <w:tcW w:w="3402" w:type="dxa"/>
            <w:vMerge/>
            <w:shd w:val="clear" w:color="auto" w:fill="B8CCE4" w:themeFill="accent1" w:themeFillTint="66"/>
            <w:vAlign w:val="center"/>
          </w:tcPr>
          <w:p w:rsidR="00604C42" w:rsidRPr="000207D3" w:rsidRDefault="00604C42" w:rsidP="00604C42">
            <w:pPr>
              <w:jc w:val="center"/>
              <w:rPr>
                <w:lang w:val="fr-BE"/>
              </w:rPr>
            </w:pPr>
          </w:p>
        </w:tc>
        <w:tc>
          <w:tcPr>
            <w:tcW w:w="1560" w:type="dxa"/>
            <w:vMerge/>
            <w:shd w:val="clear" w:color="auto" w:fill="B8CCE4" w:themeFill="accent1" w:themeFillTint="66"/>
            <w:vAlign w:val="center"/>
          </w:tcPr>
          <w:p w:rsidR="00604C42" w:rsidRPr="000207D3" w:rsidRDefault="00604C42" w:rsidP="00604C42">
            <w:pPr>
              <w:jc w:val="center"/>
              <w:rPr>
                <w:lang w:val="fr-BE"/>
              </w:rPr>
            </w:pPr>
          </w:p>
        </w:tc>
        <w:tc>
          <w:tcPr>
            <w:tcW w:w="1984" w:type="dxa"/>
            <w:vMerge/>
            <w:shd w:val="clear" w:color="auto" w:fill="B8CCE4" w:themeFill="accent1" w:themeFillTint="66"/>
            <w:vAlign w:val="center"/>
          </w:tcPr>
          <w:p w:rsidR="00604C42" w:rsidRPr="000207D3" w:rsidRDefault="00604C42" w:rsidP="00604C42">
            <w:pPr>
              <w:jc w:val="center"/>
              <w:rPr>
                <w:lang w:val="fr-BE"/>
              </w:rPr>
            </w:pPr>
          </w:p>
        </w:tc>
        <w:tc>
          <w:tcPr>
            <w:tcW w:w="2268" w:type="dxa"/>
            <w:vMerge/>
            <w:shd w:val="clear" w:color="auto" w:fill="B8CCE4" w:themeFill="accent1" w:themeFillTint="66"/>
            <w:vAlign w:val="center"/>
          </w:tcPr>
          <w:p w:rsidR="00604C42" w:rsidRPr="000207D3" w:rsidRDefault="00604C42" w:rsidP="00604C42">
            <w:pPr>
              <w:jc w:val="center"/>
              <w:rPr>
                <w:lang w:val="fr-BE"/>
              </w:rPr>
            </w:pPr>
          </w:p>
        </w:tc>
        <w:tc>
          <w:tcPr>
            <w:tcW w:w="2268" w:type="dxa"/>
            <w:shd w:val="clear" w:color="auto" w:fill="B8CCE4" w:themeFill="accent1" w:themeFillTint="66"/>
            <w:vAlign w:val="center"/>
          </w:tcPr>
          <w:p w:rsidR="00604C42" w:rsidRPr="000207D3" w:rsidRDefault="00604C42" w:rsidP="00604C42">
            <w:pPr>
              <w:jc w:val="center"/>
              <w:rPr>
                <w:lang w:val="fr-BE"/>
              </w:rPr>
            </w:pPr>
            <w:r w:rsidRPr="000207D3">
              <w:rPr>
                <w:lang w:val="fr-BE"/>
              </w:rPr>
              <w:t>Moyens du projet supplémentaire (&lt;</w:t>
            </w:r>
            <w:proofErr w:type="spellStart"/>
            <w:r w:rsidRPr="000207D3">
              <w:rPr>
                <w:lang w:val="fr-BE"/>
              </w:rPr>
              <w:t>ONEm</w:t>
            </w:r>
            <w:proofErr w:type="spellEnd"/>
            <w:r w:rsidRPr="000207D3">
              <w:rPr>
                <w:lang w:val="fr-BE"/>
              </w:rPr>
              <w:t>)</w:t>
            </w:r>
          </w:p>
        </w:tc>
        <w:tc>
          <w:tcPr>
            <w:tcW w:w="2012" w:type="dxa"/>
            <w:shd w:val="clear" w:color="auto" w:fill="B8CCE4" w:themeFill="accent1" w:themeFillTint="66"/>
            <w:vAlign w:val="center"/>
          </w:tcPr>
          <w:p w:rsidR="00604C42" w:rsidRPr="000207D3" w:rsidRDefault="00604C42" w:rsidP="00604C42">
            <w:pPr>
              <w:jc w:val="center"/>
              <w:rPr>
                <w:lang w:val="fr-BE"/>
              </w:rPr>
            </w:pPr>
            <w:r w:rsidRPr="000207D3">
              <w:rPr>
                <w:lang w:val="fr-BE"/>
              </w:rPr>
              <w:t>Moyens du secteur</w:t>
            </w:r>
          </w:p>
        </w:tc>
      </w:tr>
      <w:tr w:rsidR="00604C42" w:rsidRPr="000207D3" w:rsidTr="00604C42">
        <w:trPr>
          <w:trHeight w:val="1230"/>
        </w:trPr>
        <w:tc>
          <w:tcPr>
            <w:tcW w:w="534" w:type="dxa"/>
          </w:tcPr>
          <w:p w:rsidR="00604C42" w:rsidRPr="000207D3" w:rsidRDefault="00604C42" w:rsidP="00604C42">
            <w:pPr>
              <w:rPr>
                <w:lang w:val="fr-BE"/>
              </w:rPr>
            </w:pPr>
            <w:r w:rsidRPr="000207D3">
              <w:rPr>
                <w:lang w:val="fr-BE"/>
              </w:rPr>
              <w:t>1</w:t>
            </w:r>
          </w:p>
        </w:tc>
        <w:tc>
          <w:tcPr>
            <w:tcW w:w="1842" w:type="dxa"/>
          </w:tcPr>
          <w:p w:rsidR="00604C42" w:rsidRPr="000207D3" w:rsidRDefault="00604C42" w:rsidP="00604C42">
            <w:pPr>
              <w:rPr>
                <w:lang w:val="fr-BE"/>
              </w:rPr>
            </w:pPr>
            <w:r w:rsidRPr="000207D3">
              <w:rPr>
                <w:lang w:val="fr-BE"/>
              </w:rPr>
              <w:t>Projets tremplins supplémentaires</w:t>
            </w:r>
          </w:p>
        </w:tc>
        <w:tc>
          <w:tcPr>
            <w:tcW w:w="3402" w:type="dxa"/>
          </w:tcPr>
          <w:p w:rsidR="00604C42" w:rsidRPr="000207D3" w:rsidRDefault="00604C42" w:rsidP="00604C42">
            <w:pPr>
              <w:rPr>
                <w:lang w:val="fr-BE"/>
              </w:rPr>
            </w:pPr>
            <w:r w:rsidRPr="000207D3">
              <w:rPr>
                <w:lang w:val="fr-BE"/>
              </w:rPr>
              <w:t>Permettre aux jeunes de découvrir le secteur et leur offrir une première expérience professionnelle utile, voilà ce qui se cache derrière les "projets tremplins", où des places d'expérience professionnelle sont créées pour la formation en alternance pour des jeunes qui, à la fois, souhaitent quitter l'école et sont (quasiment) mûrs pour le travail.</w:t>
            </w:r>
          </w:p>
          <w:p w:rsidR="00604C42" w:rsidRPr="000207D3" w:rsidRDefault="00604C42" w:rsidP="00604C42">
            <w:pPr>
              <w:rPr>
                <w:lang w:val="fr-BE"/>
              </w:rPr>
            </w:pPr>
            <w:r w:rsidRPr="000207D3">
              <w:rPr>
                <w:lang w:val="fr-BE"/>
              </w:rPr>
              <w:t>L'objectif final d'un projet tremplin est d'accompagner les jeunes vers un travail à temps partiel régulier. Et même si l'accompagnement ne donne pas directement accès à un emploi, la participation au projet accroît les chances des jeunes. Cette expérience met principalement l'accent sur les attitudes générales au travail, les compétences techniques et les méthodes de travail, mais également sur une image de soi concrète et réaliste.</w:t>
            </w:r>
          </w:p>
        </w:tc>
        <w:tc>
          <w:tcPr>
            <w:tcW w:w="1560" w:type="dxa"/>
          </w:tcPr>
          <w:p w:rsidR="00604C42" w:rsidRPr="000207D3" w:rsidRDefault="00604C42" w:rsidP="00604C42">
            <w:pPr>
              <w:rPr>
                <w:lang w:val="fr-BE"/>
              </w:rPr>
            </w:pPr>
            <w:r w:rsidRPr="000207D3">
              <w:rPr>
                <w:lang w:val="fr-BE"/>
              </w:rPr>
              <w:t xml:space="preserve">FSE Ateliers sociaux, </w:t>
            </w:r>
            <w:proofErr w:type="spellStart"/>
            <w:r w:rsidRPr="000207D3">
              <w:rPr>
                <w:lang w:val="fr-BE"/>
              </w:rPr>
              <w:t>Samen</w:t>
            </w:r>
            <w:proofErr w:type="spellEnd"/>
            <w:r w:rsidRPr="000207D3">
              <w:rPr>
                <w:lang w:val="fr-BE"/>
              </w:rPr>
              <w:t xml:space="preserve"> </w:t>
            </w:r>
            <w:proofErr w:type="spellStart"/>
            <w:r w:rsidRPr="000207D3">
              <w:rPr>
                <w:lang w:val="fr-BE"/>
              </w:rPr>
              <w:t>Sociaal</w:t>
            </w:r>
            <w:proofErr w:type="spellEnd"/>
            <w:r w:rsidRPr="000207D3">
              <w:rPr>
                <w:lang w:val="fr-BE"/>
              </w:rPr>
              <w:t xml:space="preserve"> </w:t>
            </w:r>
            <w:proofErr w:type="spellStart"/>
            <w:r w:rsidRPr="000207D3">
              <w:rPr>
                <w:lang w:val="fr-BE"/>
              </w:rPr>
              <w:t>Tewerkstellen</w:t>
            </w:r>
            <w:proofErr w:type="spellEnd"/>
            <w:r w:rsidRPr="000207D3">
              <w:rPr>
                <w:lang w:val="fr-BE"/>
              </w:rPr>
              <w:t xml:space="preserve"> et VIVO</w:t>
            </w:r>
          </w:p>
        </w:tc>
        <w:tc>
          <w:tcPr>
            <w:tcW w:w="1984" w:type="dxa"/>
          </w:tcPr>
          <w:p w:rsidR="00604C42" w:rsidRPr="000207D3" w:rsidRDefault="00604C42" w:rsidP="00604C42">
            <w:pPr>
              <w:pStyle w:val="Default"/>
              <w:rPr>
                <w:rFonts w:asciiTheme="minorHAnsi" w:hAnsiTheme="minorHAnsi"/>
                <w:sz w:val="22"/>
                <w:szCs w:val="22"/>
                <w:lang w:val="fr-BE"/>
              </w:rPr>
            </w:pPr>
            <w:r w:rsidRPr="000207D3">
              <w:rPr>
                <w:rFonts w:asciiTheme="minorHAnsi" w:hAnsiTheme="minorHAnsi"/>
                <w:sz w:val="22"/>
                <w:szCs w:val="22"/>
                <w:lang w:val="fr-BE"/>
              </w:rPr>
              <w:t>Les jeunes de moins de 26 ans et formés; en l'espèce dans un régime de formation en alternance (enseignement secondaire professionnel à temps partiel dans les centres flamands d'enseignement à temps partiel)</w:t>
            </w:r>
          </w:p>
          <w:p w:rsidR="00604C42" w:rsidRPr="000207D3" w:rsidRDefault="00604C42" w:rsidP="00604C42">
            <w:pPr>
              <w:pStyle w:val="Default"/>
              <w:rPr>
                <w:rFonts w:asciiTheme="minorHAnsi" w:hAnsiTheme="minorHAnsi"/>
                <w:sz w:val="22"/>
                <w:szCs w:val="22"/>
                <w:lang w:val="fr-BE"/>
              </w:rPr>
            </w:pPr>
          </w:p>
          <w:p w:rsidR="00604C42" w:rsidRPr="000207D3" w:rsidRDefault="00604C42" w:rsidP="00604C42">
            <w:pPr>
              <w:pStyle w:val="Default"/>
              <w:rPr>
                <w:rFonts w:asciiTheme="minorHAnsi" w:hAnsiTheme="minorHAnsi"/>
                <w:sz w:val="22"/>
                <w:szCs w:val="22"/>
                <w:lang w:val="fr-BE"/>
              </w:rPr>
            </w:pPr>
            <w:r w:rsidRPr="000207D3">
              <w:rPr>
                <w:rFonts w:asciiTheme="minorHAnsi" w:hAnsiTheme="minorHAnsi"/>
                <w:sz w:val="22"/>
                <w:szCs w:val="22"/>
                <w:lang w:val="fr-BE"/>
              </w:rPr>
              <w:t xml:space="preserve">Nous entendons surtout focaliser notre attention sur les jeunes qui souhaitent quitter l'école et qui sont quasiment mûrs pour le travail. </w:t>
            </w:r>
          </w:p>
          <w:p w:rsidR="00604C42" w:rsidRPr="000207D3" w:rsidRDefault="00604C42" w:rsidP="00604C42">
            <w:pPr>
              <w:rPr>
                <w:lang w:val="fr-BE"/>
              </w:rPr>
            </w:pPr>
          </w:p>
        </w:tc>
        <w:tc>
          <w:tcPr>
            <w:tcW w:w="2268" w:type="dxa"/>
          </w:tcPr>
          <w:p w:rsidR="00604C42" w:rsidRPr="000207D3" w:rsidRDefault="00604C42" w:rsidP="00604C42">
            <w:pPr>
              <w:rPr>
                <w:lang w:val="fr-BE"/>
              </w:rPr>
            </w:pPr>
            <w:r w:rsidRPr="000207D3">
              <w:rPr>
                <w:lang w:val="fr-BE"/>
              </w:rPr>
              <w:t>Les 11 projets tremplins supplémentaires font partie d'un ensemble plus large.</w:t>
            </w:r>
          </w:p>
          <w:p w:rsidR="00604C42" w:rsidRPr="000207D3" w:rsidRDefault="00604C42" w:rsidP="00604C42">
            <w:pPr>
              <w:rPr>
                <w:lang w:val="fr-BE"/>
              </w:rPr>
            </w:pPr>
            <w:r w:rsidRPr="000207D3">
              <w:rPr>
                <w:lang w:val="fr-BE"/>
              </w:rPr>
              <w:t>Ces 11 projets visent à accompagner un total d'environ 90 jeunes durant une année scolaire sur les lieux de travail des ateliers sociaux. L'ensemble des projets tremplins vise l'accompagnement d'environ 260 jeunes au total.</w:t>
            </w:r>
          </w:p>
        </w:tc>
        <w:tc>
          <w:tcPr>
            <w:tcW w:w="2268" w:type="dxa"/>
          </w:tcPr>
          <w:p w:rsidR="00604C42" w:rsidRPr="000207D3" w:rsidRDefault="00604C42" w:rsidP="00604C42">
            <w:pPr>
              <w:rPr>
                <w:lang w:val="fr-BE"/>
              </w:rPr>
            </w:pPr>
            <w:r w:rsidRPr="000207D3">
              <w:rPr>
                <w:rFonts w:cs="Arial"/>
                <w:lang w:val="fr-BE"/>
              </w:rPr>
              <w:t>Enveloppe allouée: € 211.024,96</w:t>
            </w:r>
          </w:p>
        </w:tc>
        <w:tc>
          <w:tcPr>
            <w:tcW w:w="2012" w:type="dxa"/>
          </w:tcPr>
          <w:p w:rsidR="00604C42" w:rsidRPr="000207D3" w:rsidRDefault="00604C42" w:rsidP="00604C42">
            <w:pPr>
              <w:rPr>
                <w:lang w:val="fr-BE"/>
              </w:rPr>
            </w:pPr>
            <w:r w:rsidRPr="000207D3">
              <w:rPr>
                <w:lang w:val="fr-BE"/>
              </w:rPr>
              <w:t xml:space="preserve">&gt; 500.000€ </w:t>
            </w:r>
          </w:p>
        </w:tc>
      </w:tr>
      <w:tr w:rsidR="00604C42" w:rsidRPr="000207D3" w:rsidTr="00604C42">
        <w:trPr>
          <w:trHeight w:val="483"/>
        </w:trPr>
        <w:tc>
          <w:tcPr>
            <w:tcW w:w="9322" w:type="dxa"/>
            <w:gridSpan w:val="5"/>
            <w:tcBorders>
              <w:left w:val="nil"/>
              <w:bottom w:val="nil"/>
            </w:tcBorders>
          </w:tcPr>
          <w:p w:rsidR="00604C42" w:rsidRPr="000207D3" w:rsidRDefault="00604C42" w:rsidP="00604C42">
            <w:pPr>
              <w:jc w:val="right"/>
              <w:rPr>
                <w:sz w:val="30"/>
                <w:szCs w:val="30"/>
                <w:lang w:val="fr-BE"/>
              </w:rPr>
            </w:pPr>
            <w:r w:rsidRPr="000207D3">
              <w:rPr>
                <w:sz w:val="30"/>
                <w:szCs w:val="30"/>
                <w:lang w:val="fr-BE"/>
              </w:rPr>
              <w:t>Total</w:t>
            </w:r>
          </w:p>
        </w:tc>
        <w:tc>
          <w:tcPr>
            <w:tcW w:w="2268" w:type="dxa"/>
          </w:tcPr>
          <w:p w:rsidR="00604C42" w:rsidRPr="000207D3" w:rsidRDefault="00604C42" w:rsidP="00604C42">
            <w:pPr>
              <w:rPr>
                <w:lang w:val="fr-BE"/>
              </w:rPr>
            </w:pPr>
            <w:r w:rsidRPr="000207D3">
              <w:rPr>
                <w:lang w:val="fr-BE"/>
              </w:rPr>
              <w:t>90 jeunes</w:t>
            </w:r>
          </w:p>
        </w:tc>
        <w:tc>
          <w:tcPr>
            <w:tcW w:w="2268" w:type="dxa"/>
          </w:tcPr>
          <w:p w:rsidR="00604C42" w:rsidRPr="000207D3" w:rsidRDefault="00604C42" w:rsidP="00604C42">
            <w:pPr>
              <w:rPr>
                <w:lang w:val="fr-BE"/>
              </w:rPr>
            </w:pPr>
            <w:r w:rsidRPr="000207D3">
              <w:rPr>
                <w:rFonts w:cs="Arial"/>
                <w:lang w:val="fr-BE"/>
              </w:rPr>
              <w:t>€ 211.024,96</w:t>
            </w:r>
          </w:p>
        </w:tc>
        <w:tc>
          <w:tcPr>
            <w:tcW w:w="2012" w:type="dxa"/>
          </w:tcPr>
          <w:p w:rsidR="00604C42" w:rsidRPr="000207D3" w:rsidRDefault="00604C42" w:rsidP="00604C42">
            <w:pPr>
              <w:rPr>
                <w:lang w:val="fr-BE"/>
              </w:rPr>
            </w:pPr>
          </w:p>
        </w:tc>
      </w:tr>
    </w:tbl>
    <w:p w:rsidR="003B5287" w:rsidRPr="00604C42" w:rsidRDefault="00C04CDB" w:rsidP="00604C42">
      <w:pPr>
        <w:rPr>
          <w:u w:val="single"/>
          <w:lang w:val="fr-BE"/>
        </w:rPr>
      </w:pPr>
      <w:proofErr w:type="spellStart"/>
      <w:r>
        <w:rPr>
          <w:u w:val="single"/>
          <w:lang w:val="fr-BE"/>
        </w:rPr>
        <w:t>s</w:t>
      </w:r>
      <w:r w:rsidR="00F56A9B" w:rsidRPr="000207D3">
        <w:rPr>
          <w:u w:val="single"/>
          <w:lang w:val="fr-BE"/>
        </w:rPr>
        <w:t>CP</w:t>
      </w:r>
      <w:proofErr w:type="spellEnd"/>
      <w:r w:rsidR="00F56A9B" w:rsidRPr="000207D3">
        <w:rPr>
          <w:u w:val="single"/>
          <w:lang w:val="fr-BE"/>
        </w:rPr>
        <w:t xml:space="preserve"> 327.01: Projets supplémentaires en faveur des jeunes 2018-2019</w:t>
      </w:r>
      <w:bookmarkStart w:id="0" w:name="_GoBack"/>
      <w:bookmarkEnd w:id="0"/>
    </w:p>
    <w:sectPr w:rsidR="003B5287" w:rsidRPr="00604C42" w:rsidSect="00F56A9B">
      <w:pgSz w:w="16838" w:h="11906" w:orient="landscape"/>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1F0F"/>
    <w:multiLevelType w:val="hybridMultilevel"/>
    <w:tmpl w:val="21229DB6"/>
    <w:lvl w:ilvl="0" w:tplc="7B420BD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8BD2E9C"/>
    <w:multiLevelType w:val="hybridMultilevel"/>
    <w:tmpl w:val="B6FC7556"/>
    <w:lvl w:ilvl="0" w:tplc="DAC8DDC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40"/>
    <w:rsid w:val="000207D3"/>
    <w:rsid w:val="00142309"/>
    <w:rsid w:val="002221ED"/>
    <w:rsid w:val="002C707A"/>
    <w:rsid w:val="0035677F"/>
    <w:rsid w:val="003B3BEA"/>
    <w:rsid w:val="004A0B40"/>
    <w:rsid w:val="00565F9E"/>
    <w:rsid w:val="00575012"/>
    <w:rsid w:val="005B1174"/>
    <w:rsid w:val="00604C42"/>
    <w:rsid w:val="006650F8"/>
    <w:rsid w:val="007A4849"/>
    <w:rsid w:val="00C04CDB"/>
    <w:rsid w:val="00F56A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F9E"/>
    <w:pPr>
      <w:autoSpaceDE w:val="0"/>
      <w:autoSpaceDN w:val="0"/>
      <w:adjustRightInd w:val="0"/>
      <w:spacing w:after="0" w:line="240" w:lineRule="auto"/>
    </w:pPr>
    <w:rPr>
      <w:rFonts w:ascii="Roboto" w:hAnsi="Roboto" w:cs="Roboto"/>
      <w:color w:val="000000"/>
      <w:sz w:val="24"/>
      <w:szCs w:val="24"/>
    </w:rPr>
  </w:style>
  <w:style w:type="paragraph" w:styleId="Lijstalinea">
    <w:name w:val="List Paragraph"/>
    <w:basedOn w:val="Standaard"/>
    <w:uiPriority w:val="34"/>
    <w:qFormat/>
    <w:rsid w:val="00565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F9E"/>
    <w:pPr>
      <w:autoSpaceDE w:val="0"/>
      <w:autoSpaceDN w:val="0"/>
      <w:adjustRightInd w:val="0"/>
      <w:spacing w:after="0" w:line="240" w:lineRule="auto"/>
    </w:pPr>
    <w:rPr>
      <w:rFonts w:ascii="Roboto" w:hAnsi="Roboto" w:cs="Roboto"/>
      <w:color w:val="000000"/>
      <w:sz w:val="24"/>
      <w:szCs w:val="24"/>
    </w:rPr>
  </w:style>
  <w:style w:type="paragraph" w:styleId="Lijstalinea">
    <w:name w:val="List Paragraph"/>
    <w:basedOn w:val="Standaard"/>
    <w:uiPriority w:val="34"/>
    <w:qFormat/>
    <w:rsid w:val="00565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1608</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Werkgelegenheid, Arbeid en Sociaal Overleg</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SCHEERLINCK Frederik</cp:lastModifiedBy>
  <cp:revision>3</cp:revision>
  <dcterms:created xsi:type="dcterms:W3CDTF">2018-02-07T13:03:00Z</dcterms:created>
  <dcterms:modified xsi:type="dcterms:W3CDTF">2018-02-07T13:03:00Z</dcterms:modified>
</cp:coreProperties>
</file>