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5675" w14:textId="359AAABA" w:rsidR="002653A5" w:rsidRPr="00A941AD" w:rsidRDefault="002653A5" w:rsidP="002653A5">
      <w:pPr>
        <w:ind w:left="709"/>
        <w:jc w:val="center"/>
        <w:rPr>
          <w:b/>
          <w:szCs w:val="24"/>
          <w:lang w:val="fr-BE"/>
        </w:rPr>
      </w:pPr>
    </w:p>
    <w:p w14:paraId="4C2F5676" w14:textId="4F8A1D66" w:rsidR="002653A5" w:rsidRPr="00A941AD" w:rsidRDefault="00773D90" w:rsidP="002653A5">
      <w:pPr>
        <w:ind w:left="709"/>
        <w:jc w:val="center"/>
        <w:rPr>
          <w:b/>
          <w:szCs w:val="24"/>
          <w:lang w:val="fr-BE"/>
        </w:rPr>
      </w:pPr>
      <w:r w:rsidRPr="00A941AD">
        <w:rPr>
          <w:b/>
          <w:szCs w:val="24"/>
          <w:lang w:val="fr-BE"/>
        </w:rPr>
        <w:t>Mod</w:t>
      </w:r>
      <w:r w:rsidR="00222B63" w:rsidRPr="00A941AD">
        <w:rPr>
          <w:b/>
          <w:szCs w:val="24"/>
          <w:lang w:val="fr-BE"/>
        </w:rPr>
        <w:t xml:space="preserve">èle d’inventaire </w:t>
      </w:r>
      <w:r w:rsidR="00501A1A">
        <w:rPr>
          <w:b/>
          <w:szCs w:val="24"/>
          <w:lang w:val="fr-BE"/>
        </w:rPr>
        <w:t>d’amiante</w:t>
      </w:r>
    </w:p>
    <w:p w14:paraId="4C2F5677" w14:textId="2A9C805A" w:rsidR="00943CD8" w:rsidRDefault="00943CD8" w:rsidP="002653A5">
      <w:pPr>
        <w:ind w:left="709"/>
        <w:jc w:val="center"/>
        <w:rPr>
          <w:b/>
          <w:szCs w:val="24"/>
          <w:lang w:val="fr-BE"/>
        </w:rPr>
      </w:pPr>
    </w:p>
    <w:p w14:paraId="16D48AFF" w14:textId="50F4C96C" w:rsidR="00934BE6" w:rsidRDefault="00934BE6" w:rsidP="002653A5">
      <w:pPr>
        <w:ind w:left="709"/>
        <w:jc w:val="center"/>
        <w:rPr>
          <w:b/>
          <w:szCs w:val="24"/>
          <w:lang w:val="fr-BE"/>
        </w:rPr>
      </w:pPr>
    </w:p>
    <w:p w14:paraId="72E5267C" w14:textId="59E00E12" w:rsidR="00934BE6" w:rsidRPr="00A941AD" w:rsidRDefault="00934BE6" w:rsidP="002653A5">
      <w:pPr>
        <w:ind w:left="709"/>
        <w:jc w:val="center"/>
        <w:rPr>
          <w:b/>
          <w:szCs w:val="24"/>
          <w:lang w:val="fr-BE"/>
        </w:rPr>
      </w:pPr>
    </w:p>
    <w:p w14:paraId="4C2F5678" w14:textId="0388C094" w:rsidR="00943CD8" w:rsidRPr="00A941AD" w:rsidRDefault="00943CD8" w:rsidP="00943CD8">
      <w:pPr>
        <w:ind w:left="709"/>
        <w:rPr>
          <w:szCs w:val="24"/>
          <w:lang w:val="fr-BE"/>
        </w:rPr>
      </w:pPr>
    </w:p>
    <w:p w14:paraId="4C2F5679" w14:textId="39C97136" w:rsidR="002653A5" w:rsidRPr="009F4F6C" w:rsidRDefault="005011A6" w:rsidP="00A941AD">
      <w:pPr>
        <w:pStyle w:val="Lijstalinea"/>
        <w:numPr>
          <w:ilvl w:val="0"/>
          <w:numId w:val="27"/>
        </w:numPr>
        <w:rPr>
          <w:b/>
          <w:szCs w:val="24"/>
          <w:u w:val="single"/>
          <w:lang w:val="fr-BE"/>
        </w:rPr>
      </w:pPr>
      <w:r w:rsidRPr="009F4F6C">
        <w:rPr>
          <w:b/>
          <w:szCs w:val="24"/>
          <w:u w:val="single"/>
          <w:lang w:val="fr-BE"/>
        </w:rPr>
        <w:t>Données administratives</w:t>
      </w:r>
    </w:p>
    <w:p w14:paraId="4C2F567A" w14:textId="0008F099" w:rsidR="002722C6" w:rsidRPr="009F4F6C" w:rsidRDefault="002722C6" w:rsidP="002722C6">
      <w:pPr>
        <w:pStyle w:val="Lijstalinea"/>
        <w:rPr>
          <w:szCs w:val="24"/>
          <w:lang w:val="fr-BE"/>
        </w:rPr>
      </w:pPr>
    </w:p>
    <w:p w14:paraId="4C2F567B" w14:textId="2B6DFF0F" w:rsidR="002722C6" w:rsidRPr="008D02C7" w:rsidRDefault="00501A1A" w:rsidP="00A941AD">
      <w:pPr>
        <w:pStyle w:val="Lijstalinea"/>
        <w:numPr>
          <w:ilvl w:val="1"/>
          <w:numId w:val="27"/>
        </w:numPr>
        <w:rPr>
          <w:szCs w:val="24"/>
          <w:lang w:val="fr-BE"/>
        </w:rPr>
      </w:pPr>
      <w:r w:rsidRPr="008D02C7">
        <w:rPr>
          <w:szCs w:val="24"/>
          <w:lang w:val="fr-BE"/>
        </w:rPr>
        <w:t>Identification</w:t>
      </w:r>
      <w:r w:rsidR="00811732" w:rsidRPr="008D02C7">
        <w:rPr>
          <w:szCs w:val="24"/>
          <w:lang w:val="fr-BE"/>
        </w:rPr>
        <w:t xml:space="preserve"> de l’entreprise et de l’employeur-maître d’ouvrage</w:t>
      </w:r>
      <w:r w:rsidR="002722C6" w:rsidRPr="008D02C7">
        <w:rPr>
          <w:szCs w:val="24"/>
          <w:lang w:val="fr-BE"/>
        </w:rPr>
        <w:t>.</w:t>
      </w:r>
    </w:p>
    <w:p w14:paraId="4C2F567C" w14:textId="19CC1563" w:rsidR="002722C6" w:rsidRPr="008D02C7" w:rsidRDefault="002722C6" w:rsidP="002722C6">
      <w:pPr>
        <w:pStyle w:val="Lijstalinea"/>
        <w:ind w:left="1410"/>
        <w:rPr>
          <w:szCs w:val="24"/>
          <w:lang w:val="fr-BE"/>
        </w:rPr>
      </w:pPr>
    </w:p>
    <w:p w14:paraId="4C2F567D" w14:textId="03FDDD59" w:rsidR="002722C6" w:rsidRPr="008D02C7" w:rsidRDefault="002722C6" w:rsidP="00A941AD">
      <w:pPr>
        <w:pStyle w:val="Lijstalinea"/>
        <w:numPr>
          <w:ilvl w:val="1"/>
          <w:numId w:val="27"/>
        </w:numPr>
        <w:rPr>
          <w:szCs w:val="24"/>
          <w:lang w:val="fr-BE"/>
        </w:rPr>
      </w:pPr>
      <w:r w:rsidRPr="008D02C7">
        <w:rPr>
          <w:szCs w:val="24"/>
          <w:lang w:val="fr-BE"/>
        </w:rPr>
        <w:t>Co</w:t>
      </w:r>
      <w:r w:rsidR="00811732" w:rsidRPr="008D02C7">
        <w:rPr>
          <w:szCs w:val="24"/>
          <w:lang w:val="fr-BE"/>
        </w:rPr>
        <w:t>ordonnées du bâtiment</w:t>
      </w:r>
      <w:r w:rsidRPr="008D02C7">
        <w:rPr>
          <w:szCs w:val="24"/>
          <w:lang w:val="fr-BE"/>
        </w:rPr>
        <w:t xml:space="preserve">/ </w:t>
      </w:r>
      <w:r w:rsidR="00811732" w:rsidRPr="008D02C7">
        <w:rPr>
          <w:szCs w:val="24"/>
          <w:lang w:val="fr-BE"/>
        </w:rPr>
        <w:t>de l’ouvrage</w:t>
      </w:r>
      <w:r w:rsidR="00D26401" w:rsidRPr="008D02C7">
        <w:rPr>
          <w:szCs w:val="24"/>
          <w:lang w:val="fr-BE"/>
        </w:rPr>
        <w:t>,</w:t>
      </w:r>
      <w:r w:rsidR="00811732" w:rsidRPr="008D02C7">
        <w:rPr>
          <w:szCs w:val="24"/>
          <w:lang w:val="fr-BE"/>
        </w:rPr>
        <w:t xml:space="preserve"> et</w:t>
      </w:r>
      <w:r w:rsidRPr="008D02C7">
        <w:rPr>
          <w:szCs w:val="24"/>
          <w:lang w:val="fr-BE"/>
        </w:rPr>
        <w:t xml:space="preserve"> </w:t>
      </w:r>
      <w:r w:rsidR="00811732" w:rsidRPr="008D02C7">
        <w:rPr>
          <w:szCs w:val="24"/>
          <w:lang w:val="fr-BE"/>
        </w:rPr>
        <w:t>–</w:t>
      </w:r>
      <w:r w:rsidR="00FE42AE">
        <w:rPr>
          <w:szCs w:val="24"/>
          <w:lang w:val="fr-BE"/>
        </w:rPr>
        <w:t xml:space="preserve"> </w:t>
      </w:r>
      <w:r w:rsidR="00811732" w:rsidRPr="008D02C7">
        <w:rPr>
          <w:szCs w:val="24"/>
          <w:lang w:val="fr-BE"/>
        </w:rPr>
        <w:t>si d’application</w:t>
      </w:r>
      <w:r w:rsidRPr="008D02C7">
        <w:rPr>
          <w:szCs w:val="24"/>
          <w:lang w:val="fr-BE"/>
        </w:rPr>
        <w:t xml:space="preserve"> (</w:t>
      </w:r>
      <w:r w:rsidR="00811732" w:rsidRPr="008D02C7">
        <w:rPr>
          <w:szCs w:val="24"/>
          <w:lang w:val="fr-BE"/>
        </w:rPr>
        <w:t>par exemple si seulement une partie du bâtiment est utilisée par l’employeur</w:t>
      </w:r>
      <w:r w:rsidRPr="008D02C7">
        <w:rPr>
          <w:szCs w:val="24"/>
          <w:lang w:val="fr-BE"/>
        </w:rPr>
        <w:t xml:space="preserve">) </w:t>
      </w:r>
      <w:r w:rsidR="00811732" w:rsidRPr="008D02C7">
        <w:rPr>
          <w:szCs w:val="24"/>
          <w:lang w:val="fr-BE"/>
        </w:rPr>
        <w:t>–</w:t>
      </w:r>
      <w:r w:rsidRPr="008D02C7">
        <w:rPr>
          <w:szCs w:val="24"/>
          <w:lang w:val="fr-BE"/>
        </w:rPr>
        <w:t xml:space="preserve"> </w:t>
      </w:r>
      <w:r w:rsidR="00811732" w:rsidRPr="008D02C7">
        <w:rPr>
          <w:szCs w:val="24"/>
          <w:lang w:val="fr-BE"/>
        </w:rPr>
        <w:t xml:space="preserve">une brève description de la zone/des zones concernée(s) (cet </w:t>
      </w:r>
      <w:r w:rsidR="00FA25FC" w:rsidRPr="008D02C7">
        <w:rPr>
          <w:szCs w:val="24"/>
          <w:lang w:val="fr-BE"/>
        </w:rPr>
        <w:t>élément</w:t>
      </w:r>
      <w:r w:rsidR="00811732" w:rsidRPr="008D02C7">
        <w:rPr>
          <w:szCs w:val="24"/>
          <w:lang w:val="fr-BE"/>
        </w:rPr>
        <w:t xml:space="preserve"> est détaillé au point</w:t>
      </w:r>
      <w:r w:rsidRPr="008D02C7">
        <w:rPr>
          <w:szCs w:val="24"/>
          <w:lang w:val="fr-BE"/>
        </w:rPr>
        <w:t xml:space="preserve"> 2)</w:t>
      </w:r>
      <w:r w:rsidR="00D26401" w:rsidRPr="008D02C7">
        <w:rPr>
          <w:szCs w:val="24"/>
          <w:lang w:val="fr-BE"/>
        </w:rPr>
        <w:t xml:space="preserve">, et </w:t>
      </w:r>
      <w:r w:rsidR="00FE42AE">
        <w:rPr>
          <w:szCs w:val="24"/>
          <w:lang w:val="fr-BE"/>
        </w:rPr>
        <w:t xml:space="preserve">– </w:t>
      </w:r>
      <w:r w:rsidR="00D26401" w:rsidRPr="008D02C7">
        <w:rPr>
          <w:szCs w:val="24"/>
          <w:lang w:val="fr-BE"/>
        </w:rPr>
        <w:t>si connue</w:t>
      </w:r>
      <w:r w:rsidR="00FE42AE">
        <w:rPr>
          <w:szCs w:val="24"/>
          <w:lang w:val="fr-BE"/>
        </w:rPr>
        <w:t xml:space="preserve"> –</w:t>
      </w:r>
      <w:r w:rsidR="00D26401" w:rsidRPr="008D02C7">
        <w:rPr>
          <w:szCs w:val="24"/>
          <w:lang w:val="fr-BE"/>
        </w:rPr>
        <w:t xml:space="preserve"> l’année de construction</w:t>
      </w:r>
      <w:r w:rsidRPr="008D02C7">
        <w:rPr>
          <w:szCs w:val="24"/>
          <w:lang w:val="fr-BE"/>
        </w:rPr>
        <w:t>.</w:t>
      </w:r>
    </w:p>
    <w:p w14:paraId="4C2F567E" w14:textId="28B1EEDD" w:rsidR="002722C6" w:rsidRPr="008D02C7" w:rsidRDefault="002722C6" w:rsidP="002722C6">
      <w:pPr>
        <w:pStyle w:val="Lijstalinea"/>
        <w:rPr>
          <w:szCs w:val="24"/>
          <w:lang w:val="fr-BE"/>
        </w:rPr>
      </w:pPr>
    </w:p>
    <w:p w14:paraId="4C2F567F" w14:textId="2980BEFD" w:rsidR="002722C6" w:rsidRPr="008D02C7" w:rsidRDefault="002722C6" w:rsidP="00A941AD">
      <w:pPr>
        <w:pStyle w:val="Lijstalinea"/>
        <w:numPr>
          <w:ilvl w:val="1"/>
          <w:numId w:val="27"/>
        </w:numPr>
        <w:rPr>
          <w:szCs w:val="24"/>
          <w:lang w:val="fr-BE"/>
        </w:rPr>
      </w:pPr>
      <w:r w:rsidRPr="008D02C7">
        <w:rPr>
          <w:szCs w:val="24"/>
          <w:lang w:val="fr-BE"/>
        </w:rPr>
        <w:t>Identificati</w:t>
      </w:r>
      <w:r w:rsidR="00811732" w:rsidRPr="008D02C7">
        <w:rPr>
          <w:szCs w:val="24"/>
          <w:lang w:val="fr-BE"/>
        </w:rPr>
        <w:t>on de la personne/des personnes chargée(s) de l’inventaire</w:t>
      </w:r>
      <w:r w:rsidR="00FE42AE">
        <w:rPr>
          <w:szCs w:val="24"/>
          <w:lang w:val="fr-BE"/>
        </w:rPr>
        <w:t> :</w:t>
      </w:r>
    </w:p>
    <w:p w14:paraId="4C2F5680" w14:textId="78F6DD48" w:rsidR="002722C6" w:rsidRPr="008D02C7" w:rsidRDefault="002722C6" w:rsidP="002722C6">
      <w:pPr>
        <w:pStyle w:val="Lijstalinea"/>
        <w:rPr>
          <w:szCs w:val="24"/>
          <w:lang w:val="fr-BE"/>
        </w:rPr>
      </w:pPr>
    </w:p>
    <w:p w14:paraId="4C2F5681" w14:textId="20F8486F" w:rsidR="002722C6" w:rsidRPr="008D02C7" w:rsidRDefault="00FE42AE" w:rsidP="002722C6">
      <w:pPr>
        <w:pStyle w:val="Lijstalinea"/>
        <w:numPr>
          <w:ilvl w:val="0"/>
          <w:numId w:val="17"/>
        </w:numPr>
        <w:rPr>
          <w:szCs w:val="24"/>
          <w:lang w:val="fr-BE"/>
        </w:rPr>
      </w:pPr>
      <w:r>
        <w:rPr>
          <w:szCs w:val="24"/>
          <w:lang w:val="fr-BE"/>
        </w:rPr>
        <w:t>e</w:t>
      </w:r>
      <w:r w:rsidR="00811732" w:rsidRPr="008D02C7">
        <w:rPr>
          <w:szCs w:val="24"/>
          <w:lang w:val="fr-BE"/>
        </w:rPr>
        <w:t xml:space="preserve">n cas d’inventaire réalisé par un membre du personnel interne </w:t>
      </w:r>
      <w:r w:rsidR="002722C6" w:rsidRPr="008D02C7">
        <w:rPr>
          <w:szCs w:val="24"/>
          <w:lang w:val="fr-BE"/>
        </w:rPr>
        <w:t xml:space="preserve">: </w:t>
      </w:r>
      <w:r w:rsidR="00811732" w:rsidRPr="008D02C7">
        <w:rPr>
          <w:szCs w:val="24"/>
          <w:lang w:val="fr-BE"/>
        </w:rPr>
        <w:t xml:space="preserve">nom de la personne/des personnes chargée(s) de l’inventaire </w:t>
      </w:r>
      <w:r w:rsidR="002722C6" w:rsidRPr="008D02C7">
        <w:rPr>
          <w:szCs w:val="24"/>
          <w:lang w:val="fr-BE"/>
        </w:rPr>
        <w:t>e</w:t>
      </w:r>
      <w:r w:rsidR="00811732" w:rsidRPr="008D02C7">
        <w:rPr>
          <w:szCs w:val="24"/>
          <w:lang w:val="fr-BE"/>
        </w:rPr>
        <w:t xml:space="preserve">t sa (leur) fonction </w:t>
      </w:r>
      <w:r w:rsidR="002722C6" w:rsidRPr="008D02C7">
        <w:rPr>
          <w:szCs w:val="24"/>
          <w:lang w:val="fr-BE"/>
        </w:rPr>
        <w:t xml:space="preserve">respective </w:t>
      </w:r>
      <w:r w:rsidR="00811732" w:rsidRPr="008D02C7">
        <w:rPr>
          <w:szCs w:val="24"/>
          <w:lang w:val="fr-BE"/>
        </w:rPr>
        <w:t>dans l’entreprise</w:t>
      </w:r>
      <w:r>
        <w:rPr>
          <w:szCs w:val="24"/>
          <w:lang w:val="fr-BE"/>
        </w:rPr>
        <w:t> ;</w:t>
      </w:r>
    </w:p>
    <w:p w14:paraId="4C2F5682" w14:textId="400B5CDE" w:rsidR="002722C6" w:rsidRPr="009F4F6C" w:rsidRDefault="00FE42AE" w:rsidP="002722C6">
      <w:pPr>
        <w:pStyle w:val="Lijstalinea"/>
        <w:numPr>
          <w:ilvl w:val="0"/>
          <w:numId w:val="17"/>
        </w:numPr>
        <w:rPr>
          <w:szCs w:val="24"/>
          <w:lang w:val="fr-BE"/>
        </w:rPr>
      </w:pPr>
      <w:r>
        <w:rPr>
          <w:szCs w:val="24"/>
          <w:lang w:val="fr-BE"/>
        </w:rPr>
        <w:t>e</w:t>
      </w:r>
      <w:r w:rsidR="00811732" w:rsidRPr="008D02C7">
        <w:rPr>
          <w:szCs w:val="24"/>
          <w:lang w:val="fr-BE"/>
        </w:rPr>
        <w:t xml:space="preserve">n cas d’inventaire </w:t>
      </w:r>
      <w:r w:rsidR="00811732" w:rsidRPr="009F4F6C">
        <w:rPr>
          <w:szCs w:val="24"/>
          <w:lang w:val="fr-BE"/>
        </w:rPr>
        <w:t xml:space="preserve">réalisé par une entreprise </w:t>
      </w:r>
      <w:r w:rsidR="002722C6" w:rsidRPr="009F4F6C">
        <w:rPr>
          <w:szCs w:val="24"/>
          <w:lang w:val="fr-BE"/>
        </w:rPr>
        <w:t>extern</w:t>
      </w:r>
      <w:r w:rsidR="00811732" w:rsidRPr="009F4F6C">
        <w:rPr>
          <w:szCs w:val="24"/>
          <w:lang w:val="fr-BE"/>
        </w:rPr>
        <w:t>e</w:t>
      </w:r>
      <w:r w:rsidR="002722C6" w:rsidRPr="009F4F6C">
        <w:rPr>
          <w:szCs w:val="24"/>
          <w:lang w:val="fr-BE"/>
        </w:rPr>
        <w:t>: n</w:t>
      </w:r>
      <w:r w:rsidR="00811732" w:rsidRPr="009F4F6C">
        <w:rPr>
          <w:szCs w:val="24"/>
          <w:lang w:val="fr-BE"/>
        </w:rPr>
        <w:t>om de cette entreprise et de la personne/des personnes chargée(s) de l’inventaire</w:t>
      </w:r>
      <w:r w:rsidR="002722C6" w:rsidRPr="009F4F6C">
        <w:rPr>
          <w:szCs w:val="24"/>
          <w:lang w:val="fr-BE"/>
        </w:rPr>
        <w:t>.</w:t>
      </w:r>
    </w:p>
    <w:p w14:paraId="4C2F5683" w14:textId="39C7F653" w:rsidR="002722C6" w:rsidRPr="009F4F6C" w:rsidRDefault="002722C6" w:rsidP="002722C6">
      <w:pPr>
        <w:pStyle w:val="Lijstalinea"/>
        <w:ind w:left="1770"/>
        <w:rPr>
          <w:szCs w:val="24"/>
          <w:lang w:val="fr-BE"/>
        </w:rPr>
      </w:pPr>
    </w:p>
    <w:p w14:paraId="4C2F5684" w14:textId="256DD73D" w:rsidR="002722C6" w:rsidRPr="009F4F6C" w:rsidRDefault="002722C6" w:rsidP="00A941AD">
      <w:pPr>
        <w:pStyle w:val="Lijstalinea"/>
        <w:numPr>
          <w:ilvl w:val="1"/>
          <w:numId w:val="27"/>
        </w:numPr>
        <w:rPr>
          <w:szCs w:val="24"/>
          <w:lang w:val="fr-BE"/>
        </w:rPr>
      </w:pPr>
      <w:r w:rsidRPr="009F4F6C">
        <w:rPr>
          <w:szCs w:val="24"/>
          <w:lang w:val="fr-BE"/>
        </w:rPr>
        <w:t>Identificati</w:t>
      </w:r>
      <w:r w:rsidR="00811732" w:rsidRPr="009F4F6C">
        <w:rPr>
          <w:szCs w:val="24"/>
          <w:lang w:val="fr-BE"/>
        </w:rPr>
        <w:t>on de l’entrepreneur/des entrepreneurs avec qui on collabore pour l’examen destructif</w:t>
      </w:r>
      <w:r w:rsidR="005C4CD9" w:rsidRPr="009F4F6C">
        <w:rPr>
          <w:rStyle w:val="Voetnootmarkering"/>
          <w:szCs w:val="24"/>
          <w:lang w:val="fr-BE"/>
        </w:rPr>
        <w:footnoteReference w:id="1"/>
      </w:r>
      <w:r w:rsidRPr="009F4F6C">
        <w:rPr>
          <w:szCs w:val="24"/>
          <w:lang w:val="fr-BE"/>
        </w:rPr>
        <w:t xml:space="preserve"> (</w:t>
      </w:r>
      <w:r w:rsidR="00811732" w:rsidRPr="009F4F6C">
        <w:rPr>
          <w:szCs w:val="24"/>
          <w:lang w:val="fr-BE"/>
        </w:rPr>
        <w:t>si d’application</w:t>
      </w:r>
      <w:r w:rsidRPr="009F4F6C">
        <w:rPr>
          <w:szCs w:val="24"/>
          <w:lang w:val="fr-BE"/>
        </w:rPr>
        <w:t>).</w:t>
      </w:r>
    </w:p>
    <w:p w14:paraId="4C2F5685" w14:textId="01E70539" w:rsidR="005C4CD9" w:rsidRPr="009F4F6C" w:rsidRDefault="005C4CD9" w:rsidP="005C4CD9">
      <w:pPr>
        <w:pStyle w:val="Lijstalinea"/>
        <w:ind w:left="1410"/>
        <w:rPr>
          <w:szCs w:val="24"/>
          <w:lang w:val="fr-BE"/>
        </w:rPr>
      </w:pPr>
    </w:p>
    <w:p w14:paraId="4C2F5686" w14:textId="204A05BD" w:rsidR="005C4CD9" w:rsidRPr="009F4F6C" w:rsidRDefault="00170204" w:rsidP="00A941AD">
      <w:pPr>
        <w:pStyle w:val="Lijstalinea"/>
        <w:numPr>
          <w:ilvl w:val="1"/>
          <w:numId w:val="27"/>
        </w:numPr>
        <w:rPr>
          <w:szCs w:val="24"/>
          <w:lang w:val="fr-BE"/>
        </w:rPr>
      </w:pPr>
      <w:r w:rsidRPr="009F4F6C">
        <w:rPr>
          <w:szCs w:val="24"/>
          <w:lang w:val="fr-BE"/>
        </w:rPr>
        <w:t xml:space="preserve">S’il </w:t>
      </w:r>
      <w:r w:rsidR="004B088A" w:rsidRPr="009F4F6C">
        <w:rPr>
          <w:szCs w:val="24"/>
          <w:lang w:val="fr-BE"/>
        </w:rPr>
        <w:t>est fait appel à un laboratoire</w:t>
      </w:r>
      <w:r w:rsidRPr="009F4F6C">
        <w:rPr>
          <w:szCs w:val="24"/>
          <w:lang w:val="fr-BE"/>
        </w:rPr>
        <w:t xml:space="preserve"> agréé pour l’identification des fibres d’amiante dans des matériaux, selon l</w:t>
      </w:r>
      <w:r w:rsidR="00FA25FC" w:rsidRPr="009F4F6C">
        <w:rPr>
          <w:szCs w:val="24"/>
          <w:lang w:val="fr-BE"/>
        </w:rPr>
        <w:t>e</w:t>
      </w:r>
      <w:r w:rsidRPr="009F4F6C">
        <w:rPr>
          <w:szCs w:val="24"/>
          <w:lang w:val="fr-BE"/>
        </w:rPr>
        <w:t xml:space="preserve">s dispositions du livre </w:t>
      </w:r>
      <w:r w:rsidR="005C4CD9" w:rsidRPr="009F4F6C">
        <w:rPr>
          <w:szCs w:val="24"/>
          <w:lang w:val="fr-BE"/>
        </w:rPr>
        <w:t>II, tit</w:t>
      </w:r>
      <w:r w:rsidRPr="009F4F6C">
        <w:rPr>
          <w:szCs w:val="24"/>
          <w:lang w:val="fr-BE"/>
        </w:rPr>
        <w:t>r</w:t>
      </w:r>
      <w:r w:rsidR="005C4CD9" w:rsidRPr="009F4F6C">
        <w:rPr>
          <w:szCs w:val="24"/>
          <w:lang w:val="fr-BE"/>
        </w:rPr>
        <w:t>e 6</w:t>
      </w:r>
      <w:r w:rsidR="00501A1A">
        <w:rPr>
          <w:szCs w:val="24"/>
          <w:lang w:val="fr-BE"/>
        </w:rPr>
        <w:t xml:space="preserve"> du c</w:t>
      </w:r>
      <w:r w:rsidR="00501A1A" w:rsidRPr="00501A1A">
        <w:rPr>
          <w:szCs w:val="24"/>
          <w:lang w:val="fr-BE"/>
        </w:rPr>
        <w:t>ode du bien-être au travai</w:t>
      </w:r>
      <w:r w:rsidR="00501A1A">
        <w:rPr>
          <w:szCs w:val="24"/>
          <w:lang w:val="fr-BE"/>
        </w:rPr>
        <w:t>l</w:t>
      </w:r>
      <w:r w:rsidR="005C4CD9" w:rsidRPr="009F4F6C">
        <w:rPr>
          <w:szCs w:val="24"/>
          <w:lang w:val="fr-BE"/>
        </w:rPr>
        <w:t>: identificati</w:t>
      </w:r>
      <w:r w:rsidRPr="009F4F6C">
        <w:rPr>
          <w:szCs w:val="24"/>
          <w:lang w:val="fr-BE"/>
        </w:rPr>
        <w:t>on du laboratoire et de(s) l’exécutant(s)</w:t>
      </w:r>
      <w:r w:rsidR="005C4CD9" w:rsidRPr="009F4F6C">
        <w:rPr>
          <w:szCs w:val="24"/>
          <w:lang w:val="fr-BE"/>
        </w:rPr>
        <w:t>.</w:t>
      </w:r>
    </w:p>
    <w:p w14:paraId="4C2F5687" w14:textId="42AA2CAB" w:rsidR="005C4CD9" w:rsidRPr="009F4F6C" w:rsidRDefault="005C4CD9" w:rsidP="005C4CD9">
      <w:pPr>
        <w:pStyle w:val="Lijstalinea"/>
        <w:rPr>
          <w:szCs w:val="24"/>
          <w:lang w:val="fr-BE"/>
        </w:rPr>
      </w:pPr>
    </w:p>
    <w:p w14:paraId="4C2F5688" w14:textId="21BB3633" w:rsidR="005C4CD9" w:rsidRPr="009F4F6C" w:rsidRDefault="005C4CD9" w:rsidP="00A941AD">
      <w:pPr>
        <w:pStyle w:val="Lijstalinea"/>
        <w:numPr>
          <w:ilvl w:val="1"/>
          <w:numId w:val="27"/>
        </w:numPr>
        <w:rPr>
          <w:szCs w:val="24"/>
          <w:lang w:val="fr-BE"/>
        </w:rPr>
      </w:pPr>
      <w:r w:rsidRPr="009F4F6C">
        <w:rPr>
          <w:szCs w:val="24"/>
          <w:lang w:val="fr-BE"/>
        </w:rPr>
        <w:t>Dat</w:t>
      </w:r>
      <w:r w:rsidR="00170204" w:rsidRPr="009F4F6C">
        <w:rPr>
          <w:szCs w:val="24"/>
          <w:lang w:val="fr-BE"/>
        </w:rPr>
        <w:t>es et durée des travaux d’inventorisation sur place</w:t>
      </w:r>
      <w:r w:rsidRPr="009F4F6C">
        <w:rPr>
          <w:szCs w:val="24"/>
          <w:lang w:val="fr-BE"/>
        </w:rPr>
        <w:t>.</w:t>
      </w:r>
    </w:p>
    <w:p w14:paraId="4C2F5689" w14:textId="261B1447" w:rsidR="005C4CD9" w:rsidRPr="009F4F6C" w:rsidRDefault="005C4CD9" w:rsidP="005C4CD9">
      <w:pPr>
        <w:rPr>
          <w:szCs w:val="24"/>
          <w:lang w:val="fr-BE"/>
        </w:rPr>
      </w:pPr>
    </w:p>
    <w:p w14:paraId="4C2F568A" w14:textId="2826639D" w:rsidR="00372219" w:rsidRPr="009F4F6C" w:rsidRDefault="00372219" w:rsidP="00A941AD">
      <w:pPr>
        <w:pStyle w:val="Lijstalinea"/>
        <w:numPr>
          <w:ilvl w:val="1"/>
          <w:numId w:val="27"/>
        </w:numPr>
        <w:rPr>
          <w:szCs w:val="24"/>
          <w:lang w:val="fr-BE"/>
        </w:rPr>
      </w:pPr>
      <w:r w:rsidRPr="009F4F6C">
        <w:rPr>
          <w:szCs w:val="24"/>
          <w:lang w:val="fr-BE"/>
        </w:rPr>
        <w:t>Histori</w:t>
      </w:r>
      <w:r w:rsidR="00170204" w:rsidRPr="009F4F6C">
        <w:rPr>
          <w:szCs w:val="24"/>
          <w:lang w:val="fr-BE"/>
        </w:rPr>
        <w:t>que de l’inventaire</w:t>
      </w:r>
    </w:p>
    <w:p w14:paraId="4C2F568B" w14:textId="63C84D75" w:rsidR="005C4CD9" w:rsidRPr="009F4F6C" w:rsidRDefault="005C4CD9" w:rsidP="00372219">
      <w:pPr>
        <w:pStyle w:val="Lijstalinea"/>
        <w:ind w:left="1410"/>
        <w:rPr>
          <w:szCs w:val="24"/>
          <w:lang w:val="fr-BE"/>
        </w:rPr>
      </w:pPr>
    </w:p>
    <w:p w14:paraId="4C2F568C" w14:textId="29177B63" w:rsidR="00372219" w:rsidRPr="009F4F6C" w:rsidRDefault="00170204" w:rsidP="00372219">
      <w:pPr>
        <w:pStyle w:val="Lijstalinea"/>
        <w:ind w:left="1410"/>
        <w:rPr>
          <w:szCs w:val="24"/>
          <w:lang w:val="fr-BE"/>
        </w:rPr>
      </w:pPr>
      <w:r w:rsidRPr="009F4F6C">
        <w:rPr>
          <w:szCs w:val="24"/>
          <w:lang w:val="fr-BE"/>
        </w:rPr>
        <w:t>L’h</w:t>
      </w:r>
      <w:r w:rsidR="00372219" w:rsidRPr="009F4F6C">
        <w:rPr>
          <w:szCs w:val="24"/>
          <w:lang w:val="fr-BE"/>
        </w:rPr>
        <w:t>istori</w:t>
      </w:r>
      <w:r w:rsidRPr="009F4F6C">
        <w:rPr>
          <w:szCs w:val="24"/>
          <w:lang w:val="fr-BE"/>
        </w:rPr>
        <w:t>que de l’inventaire est présenté sous forme de tableau</w:t>
      </w:r>
      <w:r w:rsidR="00372219" w:rsidRPr="009F4F6C">
        <w:rPr>
          <w:szCs w:val="24"/>
          <w:lang w:val="fr-BE"/>
        </w:rPr>
        <w:t xml:space="preserve">. </w:t>
      </w:r>
    </w:p>
    <w:p w14:paraId="4C2F568D" w14:textId="04E547A8" w:rsidR="00372219" w:rsidRPr="009F4F6C" w:rsidRDefault="00372219" w:rsidP="00372219">
      <w:pPr>
        <w:pStyle w:val="Lijstalinea"/>
        <w:ind w:left="1410"/>
        <w:rPr>
          <w:szCs w:val="24"/>
          <w:lang w:val="fr-BE"/>
        </w:rPr>
      </w:pPr>
    </w:p>
    <w:p w14:paraId="4C2F568E" w14:textId="760AAE05" w:rsidR="00372219" w:rsidRPr="009F4F6C" w:rsidRDefault="00170204" w:rsidP="00372219">
      <w:pPr>
        <w:pStyle w:val="Lijstalinea"/>
        <w:ind w:left="1410"/>
        <w:rPr>
          <w:szCs w:val="24"/>
          <w:lang w:val="fr-BE"/>
        </w:rPr>
      </w:pPr>
      <w:r w:rsidRPr="009F4F6C">
        <w:rPr>
          <w:szCs w:val="24"/>
          <w:lang w:val="fr-BE"/>
        </w:rPr>
        <w:t xml:space="preserve">Les motifs de révision peuvent être </w:t>
      </w:r>
      <w:r w:rsidR="00372219" w:rsidRPr="009F4F6C">
        <w:rPr>
          <w:szCs w:val="24"/>
          <w:lang w:val="fr-BE"/>
        </w:rPr>
        <w:t xml:space="preserve">: </w:t>
      </w:r>
      <w:r w:rsidRPr="009F4F6C">
        <w:rPr>
          <w:szCs w:val="24"/>
          <w:lang w:val="fr-BE"/>
        </w:rPr>
        <w:t>une mise à jour de routine de l’inventaire</w:t>
      </w:r>
      <w:r w:rsidR="00372219" w:rsidRPr="009F4F6C">
        <w:rPr>
          <w:szCs w:val="24"/>
          <w:lang w:val="fr-BE"/>
        </w:rPr>
        <w:t xml:space="preserve">, </w:t>
      </w:r>
      <w:r w:rsidRPr="009F4F6C">
        <w:rPr>
          <w:szCs w:val="24"/>
          <w:lang w:val="fr-BE"/>
        </w:rPr>
        <w:t xml:space="preserve">une mise à jour de l’inventaire après un accident ou un </w:t>
      </w:r>
      <w:r w:rsidR="007C09C9" w:rsidRPr="009F4F6C">
        <w:rPr>
          <w:szCs w:val="24"/>
          <w:lang w:val="fr-BE"/>
        </w:rPr>
        <w:t xml:space="preserve">incident </w:t>
      </w:r>
      <w:r w:rsidRPr="009F4F6C">
        <w:rPr>
          <w:szCs w:val="24"/>
          <w:lang w:val="fr-BE"/>
        </w:rPr>
        <w:t>susceptible de causer des risques supplémentaires en matière d’amiante</w:t>
      </w:r>
      <w:r w:rsidR="007C09C9" w:rsidRPr="009F4F6C">
        <w:rPr>
          <w:szCs w:val="24"/>
          <w:lang w:val="fr-BE"/>
        </w:rPr>
        <w:t xml:space="preserve"> </w:t>
      </w:r>
      <w:r w:rsidR="00372219" w:rsidRPr="009F4F6C">
        <w:rPr>
          <w:szCs w:val="24"/>
          <w:lang w:val="fr-BE"/>
        </w:rPr>
        <w:t>(</w:t>
      </w:r>
      <w:r w:rsidRPr="009F4F6C">
        <w:rPr>
          <w:szCs w:val="24"/>
          <w:lang w:val="fr-BE"/>
        </w:rPr>
        <w:t>à spécifier</w:t>
      </w:r>
      <w:r w:rsidR="00372219" w:rsidRPr="009F4F6C">
        <w:rPr>
          <w:szCs w:val="24"/>
          <w:lang w:val="fr-BE"/>
        </w:rPr>
        <w:t xml:space="preserve">), </w:t>
      </w:r>
      <w:r w:rsidRPr="009F4F6C">
        <w:rPr>
          <w:szCs w:val="24"/>
          <w:lang w:val="fr-BE"/>
        </w:rPr>
        <w:t>une extension de l’inventaire avant le début de travaux susceptibles de donner lieu à une exposition à l’amiante (à spécifier)</w:t>
      </w:r>
      <w:r w:rsidR="00372219" w:rsidRPr="009F4F6C">
        <w:rPr>
          <w:szCs w:val="24"/>
          <w:lang w:val="fr-BE"/>
        </w:rPr>
        <w:t xml:space="preserve">. </w:t>
      </w:r>
      <w:r w:rsidR="00A7695A" w:rsidRPr="009F4F6C">
        <w:rPr>
          <w:szCs w:val="24"/>
          <w:lang w:val="fr-BE"/>
        </w:rPr>
        <w:t>Dans la col</w:t>
      </w:r>
      <w:r w:rsidRPr="009F4F6C">
        <w:rPr>
          <w:szCs w:val="24"/>
          <w:lang w:val="fr-BE"/>
        </w:rPr>
        <w:t>o</w:t>
      </w:r>
      <w:r w:rsidR="00A7695A" w:rsidRPr="009F4F6C">
        <w:rPr>
          <w:szCs w:val="24"/>
          <w:lang w:val="fr-BE"/>
        </w:rPr>
        <w:t>n</w:t>
      </w:r>
      <w:r w:rsidRPr="009F4F6C">
        <w:rPr>
          <w:szCs w:val="24"/>
          <w:lang w:val="fr-BE"/>
        </w:rPr>
        <w:t xml:space="preserve">ne </w:t>
      </w:r>
      <w:r w:rsidR="00372219" w:rsidRPr="009F4F6C">
        <w:rPr>
          <w:szCs w:val="24"/>
          <w:lang w:val="fr-BE"/>
        </w:rPr>
        <w:t>‘</w:t>
      </w:r>
      <w:r w:rsidR="00A7695A" w:rsidRPr="009F4F6C">
        <w:rPr>
          <w:szCs w:val="24"/>
          <w:lang w:val="fr-BE"/>
        </w:rPr>
        <w:t>ampleur de la révision</w:t>
      </w:r>
      <w:r w:rsidR="00372219" w:rsidRPr="009F4F6C">
        <w:rPr>
          <w:szCs w:val="24"/>
          <w:lang w:val="fr-BE"/>
        </w:rPr>
        <w:t>’</w:t>
      </w:r>
      <w:r w:rsidR="00A7695A" w:rsidRPr="009F4F6C">
        <w:rPr>
          <w:szCs w:val="24"/>
          <w:lang w:val="fr-BE"/>
        </w:rPr>
        <w:t xml:space="preserve">, on mentionne les adaptations qui ont été apportées. </w:t>
      </w:r>
    </w:p>
    <w:p w14:paraId="4C2F568F" w14:textId="12C2E550" w:rsidR="00372219" w:rsidRDefault="00372219" w:rsidP="00372219">
      <w:pPr>
        <w:pStyle w:val="Lijstalinea"/>
        <w:ind w:left="1410"/>
        <w:rPr>
          <w:sz w:val="20"/>
          <w:szCs w:val="24"/>
          <w:lang w:val="fr-BE"/>
        </w:rPr>
      </w:pPr>
    </w:p>
    <w:p w14:paraId="5A8A1904" w14:textId="59E3EC54" w:rsidR="00A941AD" w:rsidRPr="00E26790" w:rsidRDefault="00A941AD" w:rsidP="00372219">
      <w:pPr>
        <w:pStyle w:val="Lijstalinea"/>
        <w:ind w:left="1410"/>
        <w:rPr>
          <w:sz w:val="20"/>
          <w:szCs w:val="24"/>
          <w:lang w:val="fr-BE"/>
        </w:rPr>
      </w:pPr>
    </w:p>
    <w:tbl>
      <w:tblPr>
        <w:tblStyle w:val="Tabelraster"/>
        <w:tblW w:w="0" w:type="auto"/>
        <w:tblInd w:w="1410" w:type="dxa"/>
        <w:tblLook w:val="04A0" w:firstRow="1" w:lastRow="0" w:firstColumn="1" w:lastColumn="0" w:noHBand="0" w:noVBand="1"/>
      </w:tblPr>
      <w:tblGrid>
        <w:gridCol w:w="2059"/>
        <w:gridCol w:w="4557"/>
        <w:gridCol w:w="2737"/>
      </w:tblGrid>
      <w:tr w:rsidR="00372219" w:rsidRPr="0010708A" w14:paraId="4C2F5693" w14:textId="240C88BB" w:rsidTr="00372219">
        <w:tc>
          <w:tcPr>
            <w:tcW w:w="2100" w:type="dxa"/>
          </w:tcPr>
          <w:p w14:paraId="4C2F5690" w14:textId="26D5147C" w:rsidR="00372219" w:rsidRPr="00E26790" w:rsidRDefault="00A7695A" w:rsidP="00A7695A">
            <w:pPr>
              <w:pStyle w:val="Lijstalinea"/>
              <w:ind w:left="0"/>
              <w:jc w:val="center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Numéro de révision et date de l’entrée en vigueur</w:t>
            </w:r>
          </w:p>
        </w:tc>
        <w:tc>
          <w:tcPr>
            <w:tcW w:w="4678" w:type="dxa"/>
          </w:tcPr>
          <w:p w14:paraId="4C2F5691" w14:textId="53D71B7F" w:rsidR="00372219" w:rsidRPr="00E26790" w:rsidRDefault="00A7695A" w:rsidP="00A7695A">
            <w:pPr>
              <w:pStyle w:val="Lijstalinea"/>
              <w:ind w:left="0"/>
              <w:jc w:val="center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Motif de la révision</w:t>
            </w:r>
          </w:p>
        </w:tc>
        <w:tc>
          <w:tcPr>
            <w:tcW w:w="2801" w:type="dxa"/>
          </w:tcPr>
          <w:p w14:paraId="4C2F5692" w14:textId="7AB244F6" w:rsidR="00372219" w:rsidRPr="00E26790" w:rsidRDefault="00A7695A" w:rsidP="00A7695A">
            <w:pPr>
              <w:pStyle w:val="Lijstalinea"/>
              <w:ind w:left="0"/>
              <w:jc w:val="center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Ampleur de la révision</w:t>
            </w:r>
          </w:p>
        </w:tc>
      </w:tr>
      <w:tr w:rsidR="00372219" w:rsidRPr="0010708A" w14:paraId="4C2F5697" w14:textId="3D91EF8E" w:rsidTr="00372219">
        <w:tc>
          <w:tcPr>
            <w:tcW w:w="2100" w:type="dxa"/>
          </w:tcPr>
          <w:p w14:paraId="4C2F5694" w14:textId="0FE62F0D" w:rsidR="00372219" w:rsidRPr="00E26790" w:rsidRDefault="00372219" w:rsidP="00372219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</w:p>
        </w:tc>
        <w:tc>
          <w:tcPr>
            <w:tcW w:w="4678" w:type="dxa"/>
          </w:tcPr>
          <w:p w14:paraId="4C2F5695" w14:textId="0CA7B348" w:rsidR="00372219" w:rsidRPr="00E26790" w:rsidRDefault="00372219" w:rsidP="00372219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</w:p>
        </w:tc>
        <w:tc>
          <w:tcPr>
            <w:tcW w:w="2801" w:type="dxa"/>
          </w:tcPr>
          <w:p w14:paraId="4C2F5696" w14:textId="1895956B" w:rsidR="00372219" w:rsidRPr="00E26790" w:rsidRDefault="00372219" w:rsidP="00372219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</w:p>
        </w:tc>
      </w:tr>
      <w:tr w:rsidR="00372219" w:rsidRPr="0010708A" w14:paraId="4C2F569B" w14:textId="0EC5421A" w:rsidTr="00372219">
        <w:tc>
          <w:tcPr>
            <w:tcW w:w="2100" w:type="dxa"/>
          </w:tcPr>
          <w:p w14:paraId="4C2F5698" w14:textId="229FF194" w:rsidR="00372219" w:rsidRPr="00E26790" w:rsidRDefault="00372219" w:rsidP="00372219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</w:p>
        </w:tc>
        <w:tc>
          <w:tcPr>
            <w:tcW w:w="4678" w:type="dxa"/>
          </w:tcPr>
          <w:p w14:paraId="4C2F5699" w14:textId="6D03902E" w:rsidR="00372219" w:rsidRPr="00E26790" w:rsidRDefault="00372219" w:rsidP="00372219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</w:p>
        </w:tc>
        <w:tc>
          <w:tcPr>
            <w:tcW w:w="2801" w:type="dxa"/>
          </w:tcPr>
          <w:p w14:paraId="4C2F569A" w14:textId="3CBF379C" w:rsidR="00372219" w:rsidRPr="00E26790" w:rsidRDefault="00372219" w:rsidP="00372219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</w:p>
        </w:tc>
      </w:tr>
    </w:tbl>
    <w:p w14:paraId="4C2F569C" w14:textId="40859E89" w:rsidR="00643479" w:rsidRDefault="00643479" w:rsidP="00372219">
      <w:pPr>
        <w:pStyle w:val="Lijstalinea"/>
        <w:ind w:left="1410"/>
        <w:rPr>
          <w:sz w:val="20"/>
          <w:szCs w:val="24"/>
          <w:lang w:val="fr-BE"/>
        </w:rPr>
      </w:pPr>
    </w:p>
    <w:p w14:paraId="66F82748" w14:textId="611FC55C" w:rsidR="00934BE6" w:rsidRDefault="00934BE6" w:rsidP="00372219">
      <w:pPr>
        <w:pStyle w:val="Lijstalinea"/>
        <w:ind w:left="1410"/>
        <w:rPr>
          <w:sz w:val="20"/>
          <w:szCs w:val="24"/>
          <w:lang w:val="fr-BE"/>
        </w:rPr>
      </w:pPr>
    </w:p>
    <w:p w14:paraId="4C2F569D" w14:textId="4F3CCBFD" w:rsidR="005C4CD9" w:rsidRPr="009F4F6C" w:rsidRDefault="00643479" w:rsidP="00A941AD">
      <w:pPr>
        <w:pStyle w:val="Lijstalinea"/>
        <w:numPr>
          <w:ilvl w:val="0"/>
          <w:numId w:val="27"/>
        </w:numPr>
        <w:rPr>
          <w:b/>
          <w:szCs w:val="24"/>
          <w:u w:val="single"/>
          <w:lang w:val="fr-BE"/>
        </w:rPr>
      </w:pPr>
      <w:r w:rsidRPr="009F4F6C">
        <w:rPr>
          <w:b/>
          <w:szCs w:val="24"/>
          <w:u w:val="single"/>
          <w:lang w:val="fr-BE"/>
        </w:rPr>
        <w:t>Zones e</w:t>
      </w:r>
      <w:r w:rsidR="00FA25FC" w:rsidRPr="009F4F6C">
        <w:rPr>
          <w:b/>
          <w:szCs w:val="24"/>
          <w:u w:val="single"/>
          <w:lang w:val="fr-BE"/>
        </w:rPr>
        <w:t>t objets</w:t>
      </w:r>
      <w:r w:rsidR="00A7695A" w:rsidRPr="009F4F6C">
        <w:rPr>
          <w:b/>
          <w:szCs w:val="24"/>
          <w:u w:val="single"/>
          <w:lang w:val="fr-BE"/>
        </w:rPr>
        <w:t xml:space="preserve"> concernés par l’inventaire</w:t>
      </w:r>
    </w:p>
    <w:p w14:paraId="4C2F569E" w14:textId="6A6A793C" w:rsidR="00643479" w:rsidRPr="009F4F6C" w:rsidRDefault="00643479" w:rsidP="00643479">
      <w:pPr>
        <w:pStyle w:val="Lijstalinea"/>
        <w:rPr>
          <w:b/>
          <w:szCs w:val="24"/>
          <w:u w:val="single"/>
          <w:lang w:val="fr-BE"/>
        </w:rPr>
      </w:pPr>
    </w:p>
    <w:p w14:paraId="4C2F569F" w14:textId="003CFC09" w:rsidR="00643479" w:rsidRPr="009F4F6C" w:rsidRDefault="00A7695A" w:rsidP="00643479">
      <w:pPr>
        <w:pStyle w:val="Lijstalinea"/>
        <w:rPr>
          <w:szCs w:val="24"/>
          <w:lang w:val="fr-BE"/>
        </w:rPr>
      </w:pPr>
      <w:r w:rsidRPr="009F4F6C">
        <w:rPr>
          <w:szCs w:val="24"/>
          <w:lang w:val="fr-BE"/>
        </w:rPr>
        <w:t xml:space="preserve">Description détaillée, non ambiguë </w:t>
      </w:r>
      <w:r w:rsidR="007224DE" w:rsidRPr="009F4F6C">
        <w:rPr>
          <w:szCs w:val="24"/>
          <w:lang w:val="fr-BE"/>
        </w:rPr>
        <w:t>des zones et objets concernés.</w:t>
      </w:r>
    </w:p>
    <w:p w14:paraId="4C2F56A0" w14:textId="3E9DA3D6" w:rsidR="00643479" w:rsidRPr="009F4F6C" w:rsidRDefault="00643479" w:rsidP="00643479">
      <w:pPr>
        <w:pStyle w:val="Lijstalinea"/>
        <w:rPr>
          <w:szCs w:val="24"/>
          <w:lang w:val="fr-BE"/>
        </w:rPr>
      </w:pPr>
    </w:p>
    <w:p w14:paraId="4C2F56A1" w14:textId="0530A07B" w:rsidR="00643479" w:rsidRPr="009F4F6C" w:rsidRDefault="00643479" w:rsidP="00A941AD">
      <w:pPr>
        <w:pStyle w:val="Lijstalinea"/>
        <w:numPr>
          <w:ilvl w:val="0"/>
          <w:numId w:val="27"/>
        </w:numPr>
        <w:rPr>
          <w:b/>
          <w:szCs w:val="24"/>
          <w:u w:val="single"/>
          <w:lang w:val="fr-BE"/>
        </w:rPr>
      </w:pPr>
      <w:r w:rsidRPr="009F4F6C">
        <w:rPr>
          <w:b/>
          <w:szCs w:val="24"/>
          <w:u w:val="single"/>
          <w:lang w:val="fr-BE"/>
        </w:rPr>
        <w:t>(</w:t>
      </w:r>
      <w:r w:rsidR="00A7695A" w:rsidRPr="009F4F6C">
        <w:rPr>
          <w:b/>
          <w:szCs w:val="24"/>
          <w:u w:val="single"/>
          <w:lang w:val="fr-BE"/>
        </w:rPr>
        <w:t>Parties de</w:t>
      </w:r>
      <w:r w:rsidRPr="009F4F6C">
        <w:rPr>
          <w:b/>
          <w:szCs w:val="24"/>
          <w:u w:val="single"/>
          <w:lang w:val="fr-BE"/>
        </w:rPr>
        <w:t>) zones e</w:t>
      </w:r>
      <w:r w:rsidR="00A7695A" w:rsidRPr="009F4F6C">
        <w:rPr>
          <w:b/>
          <w:szCs w:val="24"/>
          <w:u w:val="single"/>
          <w:lang w:val="fr-BE"/>
        </w:rPr>
        <w:t>t objets qui doivent être examinés plus avant en cas d’extension de l’inventaire préalable à des travaux</w:t>
      </w:r>
    </w:p>
    <w:p w14:paraId="4C2F56A2" w14:textId="3589369F" w:rsidR="00643479" w:rsidRPr="009F4F6C" w:rsidRDefault="00643479" w:rsidP="00643479">
      <w:pPr>
        <w:pStyle w:val="Lijstalinea"/>
        <w:rPr>
          <w:szCs w:val="24"/>
          <w:lang w:val="fr-BE"/>
        </w:rPr>
      </w:pPr>
    </w:p>
    <w:p w14:paraId="4C2F56A3" w14:textId="7EC7C914" w:rsidR="002722C6" w:rsidRPr="009F4F6C" w:rsidRDefault="00A7695A" w:rsidP="0065571E">
      <w:pPr>
        <w:ind w:left="709"/>
        <w:rPr>
          <w:szCs w:val="24"/>
          <w:lang w:val="fr-BE"/>
        </w:rPr>
      </w:pPr>
      <w:r w:rsidRPr="009F4F6C">
        <w:rPr>
          <w:szCs w:val="24"/>
          <w:lang w:val="fr-BE"/>
        </w:rPr>
        <w:t>Un aperçu détaill</w:t>
      </w:r>
      <w:r w:rsidR="00CB2C01" w:rsidRPr="009F4F6C">
        <w:rPr>
          <w:szCs w:val="24"/>
          <w:lang w:val="fr-BE"/>
        </w:rPr>
        <w:t>é</w:t>
      </w:r>
      <w:r w:rsidRPr="009F4F6C">
        <w:rPr>
          <w:szCs w:val="24"/>
          <w:lang w:val="fr-BE"/>
        </w:rPr>
        <w:t xml:space="preserve"> des (parties) de </w:t>
      </w:r>
      <w:r w:rsidR="0065571E" w:rsidRPr="009F4F6C">
        <w:rPr>
          <w:szCs w:val="24"/>
          <w:lang w:val="fr-BE"/>
        </w:rPr>
        <w:t>zones e</w:t>
      </w:r>
      <w:r w:rsidRPr="009F4F6C">
        <w:rPr>
          <w:szCs w:val="24"/>
          <w:lang w:val="fr-BE"/>
        </w:rPr>
        <w:t>t</w:t>
      </w:r>
      <w:r w:rsidR="0065571E" w:rsidRPr="009F4F6C">
        <w:rPr>
          <w:szCs w:val="24"/>
          <w:lang w:val="fr-BE"/>
        </w:rPr>
        <w:t xml:space="preserve"> obje</w:t>
      </w:r>
      <w:r w:rsidRPr="009F4F6C">
        <w:rPr>
          <w:szCs w:val="24"/>
          <w:lang w:val="fr-BE"/>
        </w:rPr>
        <w:t xml:space="preserve">ts encore à </w:t>
      </w:r>
      <w:r w:rsidR="00FA25FC" w:rsidRPr="009F4F6C">
        <w:rPr>
          <w:szCs w:val="24"/>
          <w:lang w:val="fr-BE"/>
        </w:rPr>
        <w:t>examiner</w:t>
      </w:r>
      <w:r w:rsidRPr="009F4F6C">
        <w:rPr>
          <w:szCs w:val="24"/>
          <w:lang w:val="fr-BE"/>
        </w:rPr>
        <w:t xml:space="preserve"> en cas d’extension de l’inventaire préalable à des travaux</w:t>
      </w:r>
      <w:r w:rsidR="0065571E" w:rsidRPr="009F4F6C">
        <w:rPr>
          <w:szCs w:val="24"/>
          <w:lang w:val="fr-BE"/>
        </w:rPr>
        <w:t xml:space="preserve"> </w:t>
      </w:r>
      <w:r w:rsidRPr="009F4F6C">
        <w:rPr>
          <w:szCs w:val="24"/>
          <w:lang w:val="fr-BE"/>
        </w:rPr>
        <w:t xml:space="preserve">parmi lesquels les parties de bâtiment, de machines et d’installations qui sont </w:t>
      </w:r>
      <w:r w:rsidR="00FA25FC" w:rsidRPr="009F4F6C">
        <w:rPr>
          <w:szCs w:val="24"/>
          <w:lang w:val="fr-BE"/>
        </w:rPr>
        <w:t>difficilement</w:t>
      </w:r>
      <w:r w:rsidRPr="009F4F6C">
        <w:rPr>
          <w:szCs w:val="24"/>
          <w:lang w:val="fr-BE"/>
        </w:rPr>
        <w:t xml:space="preserve"> accessibles et qui, en des circonstances normales, ne peuvent pas donner lieu à une exposition à l’amiante. Ces </w:t>
      </w:r>
      <w:r w:rsidR="0065571E" w:rsidRPr="009F4F6C">
        <w:rPr>
          <w:szCs w:val="24"/>
          <w:lang w:val="fr-BE"/>
        </w:rPr>
        <w:t>(</w:t>
      </w:r>
      <w:r w:rsidRPr="009F4F6C">
        <w:rPr>
          <w:szCs w:val="24"/>
          <w:lang w:val="fr-BE"/>
        </w:rPr>
        <w:t>parties de</w:t>
      </w:r>
      <w:r w:rsidR="0065571E" w:rsidRPr="009F4F6C">
        <w:rPr>
          <w:szCs w:val="24"/>
          <w:lang w:val="fr-BE"/>
        </w:rPr>
        <w:t>) zones e</w:t>
      </w:r>
      <w:r w:rsidR="007224DE" w:rsidRPr="009F4F6C">
        <w:rPr>
          <w:szCs w:val="24"/>
          <w:lang w:val="fr-BE"/>
        </w:rPr>
        <w:t>t objets doivent être indiqué</w:t>
      </w:r>
      <w:r w:rsidRPr="009F4F6C">
        <w:rPr>
          <w:szCs w:val="24"/>
          <w:lang w:val="fr-BE"/>
        </w:rPr>
        <w:t>s sur des plans</w:t>
      </w:r>
      <w:r w:rsidR="0065571E" w:rsidRPr="009F4F6C">
        <w:rPr>
          <w:szCs w:val="24"/>
          <w:lang w:val="fr-BE"/>
        </w:rPr>
        <w:t xml:space="preserve"> /sch</w:t>
      </w:r>
      <w:r w:rsidRPr="009F4F6C">
        <w:rPr>
          <w:szCs w:val="24"/>
          <w:lang w:val="fr-BE"/>
        </w:rPr>
        <w:t>é</w:t>
      </w:r>
      <w:r w:rsidR="0065571E" w:rsidRPr="009F4F6C">
        <w:rPr>
          <w:szCs w:val="24"/>
          <w:lang w:val="fr-BE"/>
        </w:rPr>
        <w:t>mas.</w:t>
      </w:r>
    </w:p>
    <w:p w14:paraId="4C2F56A4" w14:textId="517A0824" w:rsidR="00754CDC" w:rsidRPr="009F4F6C" w:rsidRDefault="00754CDC" w:rsidP="0065571E">
      <w:pPr>
        <w:ind w:left="709"/>
        <w:rPr>
          <w:szCs w:val="24"/>
          <w:lang w:val="fr-BE"/>
        </w:rPr>
      </w:pPr>
    </w:p>
    <w:p w14:paraId="4C2F56A5" w14:textId="2CF0EBBD" w:rsidR="00965D3E" w:rsidRPr="009F4F6C" w:rsidRDefault="00A7695A" w:rsidP="00A941AD">
      <w:pPr>
        <w:pStyle w:val="Lijstalinea"/>
        <w:numPr>
          <w:ilvl w:val="0"/>
          <w:numId w:val="27"/>
        </w:numPr>
        <w:rPr>
          <w:b/>
          <w:szCs w:val="24"/>
          <w:u w:val="single"/>
          <w:lang w:val="fr-BE"/>
        </w:rPr>
      </w:pPr>
      <w:r w:rsidRPr="009F4F6C">
        <w:rPr>
          <w:b/>
          <w:szCs w:val="24"/>
          <w:u w:val="single"/>
          <w:lang w:val="fr-BE"/>
        </w:rPr>
        <w:t>Examen préalable</w:t>
      </w:r>
    </w:p>
    <w:p w14:paraId="4C2F56A6" w14:textId="31906BE1" w:rsidR="002722C6" w:rsidRPr="009F4F6C" w:rsidRDefault="002722C6" w:rsidP="00965D3E">
      <w:pPr>
        <w:rPr>
          <w:szCs w:val="24"/>
          <w:lang w:val="fr-BE"/>
        </w:rPr>
      </w:pPr>
    </w:p>
    <w:p w14:paraId="4C2F56A7" w14:textId="20810321" w:rsidR="00965D3E" w:rsidRPr="009F4F6C" w:rsidRDefault="00A7695A" w:rsidP="00965D3E">
      <w:pPr>
        <w:ind w:left="709"/>
        <w:rPr>
          <w:szCs w:val="24"/>
          <w:lang w:val="fr-BE"/>
        </w:rPr>
      </w:pPr>
      <w:r w:rsidRPr="009F4F6C">
        <w:rPr>
          <w:szCs w:val="24"/>
          <w:lang w:val="fr-BE"/>
        </w:rPr>
        <w:t xml:space="preserve">Enumération des documents pertinents concernant les antécédents du bâtiment </w:t>
      </w:r>
      <w:r w:rsidR="00965D3E" w:rsidRPr="009F4F6C">
        <w:rPr>
          <w:szCs w:val="24"/>
          <w:lang w:val="fr-BE"/>
        </w:rPr>
        <w:t xml:space="preserve">/ </w:t>
      </w:r>
      <w:r w:rsidRPr="009F4F6C">
        <w:rPr>
          <w:szCs w:val="24"/>
          <w:lang w:val="fr-BE"/>
        </w:rPr>
        <w:t>de l’ouvrage</w:t>
      </w:r>
      <w:r w:rsidR="00965D3E" w:rsidRPr="009F4F6C">
        <w:rPr>
          <w:szCs w:val="24"/>
          <w:lang w:val="fr-BE"/>
        </w:rPr>
        <w:t xml:space="preserve"> (</w:t>
      </w:r>
      <w:r w:rsidRPr="009F4F6C">
        <w:rPr>
          <w:szCs w:val="24"/>
          <w:lang w:val="fr-BE"/>
        </w:rPr>
        <w:t>repris en annexe) et le résultat de leur évaluation</w:t>
      </w:r>
      <w:r w:rsidR="00FE42AE">
        <w:rPr>
          <w:szCs w:val="24"/>
          <w:lang w:val="fr-BE"/>
        </w:rPr>
        <w:t> :</w:t>
      </w:r>
    </w:p>
    <w:p w14:paraId="4C2F56A8" w14:textId="69762989" w:rsidR="00965D3E" w:rsidRPr="009F4F6C" w:rsidRDefault="00965D3E" w:rsidP="00965D3E">
      <w:pPr>
        <w:ind w:left="709"/>
        <w:rPr>
          <w:szCs w:val="24"/>
          <w:lang w:val="fr-BE"/>
        </w:rPr>
      </w:pPr>
    </w:p>
    <w:p w14:paraId="4C2F56A9" w14:textId="78BA8F36" w:rsidR="00965D3E" w:rsidRPr="009F4F6C" w:rsidRDefault="00965D3E" w:rsidP="00965D3E">
      <w:pPr>
        <w:ind w:left="993" w:hanging="284"/>
        <w:rPr>
          <w:szCs w:val="24"/>
          <w:lang w:val="fr-BE"/>
        </w:rPr>
      </w:pPr>
      <w:r w:rsidRPr="009F4F6C">
        <w:rPr>
          <w:szCs w:val="24"/>
          <w:lang w:val="fr-BE"/>
        </w:rPr>
        <w:t>-</w:t>
      </w:r>
      <w:r w:rsidRPr="009F4F6C">
        <w:rPr>
          <w:szCs w:val="24"/>
          <w:lang w:val="fr-BE"/>
        </w:rPr>
        <w:tab/>
      </w:r>
      <w:r w:rsidR="00FE42AE">
        <w:rPr>
          <w:szCs w:val="24"/>
          <w:lang w:val="fr-BE"/>
        </w:rPr>
        <w:t>p</w:t>
      </w:r>
      <w:r w:rsidR="00CB2C01" w:rsidRPr="009F4F6C">
        <w:rPr>
          <w:szCs w:val="24"/>
          <w:lang w:val="fr-BE"/>
        </w:rPr>
        <w:t>lans ou schémas disponibles</w:t>
      </w:r>
      <w:r w:rsidRPr="009F4F6C">
        <w:rPr>
          <w:szCs w:val="24"/>
          <w:lang w:val="fr-BE"/>
        </w:rPr>
        <w:t xml:space="preserve">: </w:t>
      </w:r>
      <w:r w:rsidR="00CB2C01" w:rsidRPr="009F4F6C">
        <w:rPr>
          <w:szCs w:val="24"/>
          <w:lang w:val="fr-BE"/>
        </w:rPr>
        <w:t>année de construction, plans de construction, plans des installations de proces</w:t>
      </w:r>
      <w:r w:rsidR="00EA1F73" w:rsidRPr="009F4F6C">
        <w:rPr>
          <w:szCs w:val="24"/>
          <w:lang w:val="fr-BE"/>
        </w:rPr>
        <w:t>sus</w:t>
      </w:r>
      <w:r w:rsidR="00CB2C01" w:rsidRPr="009F4F6C">
        <w:rPr>
          <w:szCs w:val="24"/>
          <w:lang w:val="fr-BE"/>
        </w:rPr>
        <w:t xml:space="preserve">, </w:t>
      </w:r>
      <w:r w:rsidR="00FA25FC" w:rsidRPr="009F4F6C">
        <w:rPr>
          <w:szCs w:val="24"/>
          <w:lang w:val="fr-BE"/>
        </w:rPr>
        <w:t>matériaux</w:t>
      </w:r>
      <w:r w:rsidR="00CB2C01" w:rsidRPr="009F4F6C">
        <w:rPr>
          <w:szCs w:val="24"/>
          <w:lang w:val="fr-BE"/>
        </w:rPr>
        <w:t xml:space="preserve"> utilisés</w:t>
      </w:r>
      <w:r w:rsidR="00FE42AE">
        <w:rPr>
          <w:szCs w:val="24"/>
          <w:lang w:val="fr-BE"/>
        </w:rPr>
        <w:t> ;</w:t>
      </w:r>
    </w:p>
    <w:p w14:paraId="4C2F56AA" w14:textId="11D4A681" w:rsidR="00965D3E" w:rsidRPr="009F4F6C" w:rsidRDefault="00965D3E" w:rsidP="00965D3E">
      <w:pPr>
        <w:ind w:left="993" w:hanging="284"/>
        <w:rPr>
          <w:szCs w:val="24"/>
          <w:lang w:val="fr-BE"/>
        </w:rPr>
      </w:pPr>
      <w:r w:rsidRPr="009F4F6C">
        <w:rPr>
          <w:szCs w:val="24"/>
          <w:lang w:val="fr-BE"/>
        </w:rPr>
        <w:t>-</w:t>
      </w:r>
      <w:r w:rsidRPr="009F4F6C">
        <w:rPr>
          <w:szCs w:val="24"/>
          <w:lang w:val="fr-BE"/>
        </w:rPr>
        <w:tab/>
      </w:r>
      <w:r w:rsidR="00FE42AE">
        <w:rPr>
          <w:szCs w:val="24"/>
          <w:lang w:val="fr-BE"/>
        </w:rPr>
        <w:t>i</w:t>
      </w:r>
      <w:r w:rsidRPr="009F4F6C">
        <w:rPr>
          <w:szCs w:val="24"/>
          <w:lang w:val="fr-BE"/>
        </w:rPr>
        <w:t>nformati</w:t>
      </w:r>
      <w:r w:rsidR="00CB2C01" w:rsidRPr="009F4F6C">
        <w:rPr>
          <w:szCs w:val="24"/>
          <w:lang w:val="fr-BE"/>
        </w:rPr>
        <w:t>on disponible sur les transformations et travaux réalisés: matériaux utilisés, moment où ces travaux ont été réalisés</w:t>
      </w:r>
      <w:r w:rsidR="00FE42AE">
        <w:rPr>
          <w:szCs w:val="24"/>
          <w:lang w:val="fr-BE"/>
        </w:rPr>
        <w:t>.</w:t>
      </w:r>
    </w:p>
    <w:p w14:paraId="4C2F56AB" w14:textId="7B6EEC6F" w:rsidR="00EA6B2F" w:rsidRPr="009F4F6C" w:rsidRDefault="00EA6B2F" w:rsidP="00965D3E">
      <w:pPr>
        <w:ind w:left="993" w:hanging="284"/>
        <w:rPr>
          <w:szCs w:val="24"/>
          <w:lang w:val="fr-BE"/>
        </w:rPr>
      </w:pPr>
    </w:p>
    <w:p w14:paraId="4C2F56AC" w14:textId="697155AF" w:rsidR="00965D3E" w:rsidRPr="009F4F6C" w:rsidRDefault="00965D3E" w:rsidP="00965D3E">
      <w:pPr>
        <w:rPr>
          <w:szCs w:val="24"/>
          <w:lang w:val="fr-BE"/>
        </w:rPr>
      </w:pPr>
    </w:p>
    <w:p w14:paraId="4C2F56AD" w14:textId="27E880A5" w:rsidR="00965D3E" w:rsidRPr="009F4F6C" w:rsidRDefault="00CB2C01" w:rsidP="00A941AD">
      <w:pPr>
        <w:pStyle w:val="Lijstalinea"/>
        <w:numPr>
          <w:ilvl w:val="0"/>
          <w:numId w:val="27"/>
        </w:numPr>
        <w:rPr>
          <w:b/>
          <w:szCs w:val="24"/>
          <w:u w:val="single"/>
          <w:lang w:val="fr-BE"/>
        </w:rPr>
      </w:pPr>
      <w:r w:rsidRPr="009F4F6C">
        <w:rPr>
          <w:b/>
          <w:szCs w:val="24"/>
          <w:u w:val="single"/>
          <w:lang w:val="fr-BE"/>
        </w:rPr>
        <w:t>Méthodes d’examen et de prise d’échantillons</w:t>
      </w:r>
    </w:p>
    <w:p w14:paraId="4C2F56AE" w14:textId="1D9BFE34" w:rsidR="00EA6B2F" w:rsidRPr="009F4F6C" w:rsidRDefault="00EA6B2F" w:rsidP="00EA6B2F">
      <w:pPr>
        <w:pStyle w:val="Lijstalinea"/>
        <w:rPr>
          <w:szCs w:val="24"/>
          <w:lang w:val="fr-BE"/>
        </w:rPr>
      </w:pPr>
    </w:p>
    <w:p w14:paraId="4C2F56AF" w14:textId="2C45E01C" w:rsidR="00EA6B2F" w:rsidRPr="009F4F6C" w:rsidRDefault="00CB2C01" w:rsidP="00EA6B2F">
      <w:pPr>
        <w:pStyle w:val="Lijstalinea"/>
        <w:rPr>
          <w:szCs w:val="24"/>
          <w:lang w:val="fr-BE"/>
        </w:rPr>
      </w:pPr>
      <w:r w:rsidRPr="009F4F6C">
        <w:rPr>
          <w:szCs w:val="24"/>
          <w:lang w:val="fr-BE"/>
        </w:rPr>
        <w:t xml:space="preserve">Description des méthodes utilisées pour l’examen et la prise d’échantillons par application de matériau </w:t>
      </w:r>
      <w:r w:rsidR="00EA1F73" w:rsidRPr="009F4F6C">
        <w:rPr>
          <w:szCs w:val="24"/>
          <w:lang w:val="fr-BE"/>
        </w:rPr>
        <w:t>soupçonné de contenir de l’amiante</w:t>
      </w:r>
      <w:r w:rsidRPr="009F4F6C">
        <w:rPr>
          <w:szCs w:val="24"/>
          <w:lang w:val="fr-BE"/>
        </w:rPr>
        <w:t xml:space="preserve"> </w:t>
      </w:r>
    </w:p>
    <w:p w14:paraId="4C2F56B0" w14:textId="0FB34A4C" w:rsidR="00EA6B2F" w:rsidRPr="009F4F6C" w:rsidRDefault="00EA6B2F" w:rsidP="00EA6B2F">
      <w:pPr>
        <w:pStyle w:val="Lijstalinea"/>
        <w:rPr>
          <w:szCs w:val="24"/>
          <w:lang w:val="fr-BE"/>
        </w:rPr>
      </w:pPr>
    </w:p>
    <w:p w14:paraId="4C2F56B1" w14:textId="456CFE0B" w:rsidR="00EA6B2F" w:rsidRPr="009F4F6C" w:rsidRDefault="00CB2C01" w:rsidP="00A941AD">
      <w:pPr>
        <w:pStyle w:val="Lijstalinea"/>
        <w:numPr>
          <w:ilvl w:val="0"/>
          <w:numId w:val="27"/>
        </w:numPr>
        <w:rPr>
          <w:b/>
          <w:szCs w:val="24"/>
          <w:u w:val="single"/>
          <w:lang w:val="fr-BE"/>
        </w:rPr>
      </w:pPr>
      <w:r w:rsidRPr="009F4F6C">
        <w:rPr>
          <w:b/>
          <w:szCs w:val="24"/>
          <w:u w:val="single"/>
          <w:lang w:val="fr-BE"/>
        </w:rPr>
        <w:t>Ré</w:t>
      </w:r>
      <w:r w:rsidR="00EA6B2F" w:rsidRPr="009F4F6C">
        <w:rPr>
          <w:b/>
          <w:szCs w:val="24"/>
          <w:u w:val="single"/>
          <w:lang w:val="fr-BE"/>
        </w:rPr>
        <w:t>sultat</w:t>
      </w:r>
      <w:r w:rsidRPr="009F4F6C">
        <w:rPr>
          <w:b/>
          <w:szCs w:val="24"/>
          <w:u w:val="single"/>
          <w:lang w:val="fr-BE"/>
        </w:rPr>
        <w:t>s</w:t>
      </w:r>
    </w:p>
    <w:p w14:paraId="4C2F56B2" w14:textId="015AD5A6" w:rsidR="00EA6B2F" w:rsidRPr="009F4F6C" w:rsidRDefault="00EA6B2F" w:rsidP="00EA6B2F">
      <w:pPr>
        <w:pStyle w:val="Lijstalinea"/>
        <w:rPr>
          <w:szCs w:val="24"/>
          <w:lang w:val="fr-BE"/>
        </w:rPr>
      </w:pPr>
    </w:p>
    <w:p w14:paraId="4C2F56B3" w14:textId="60A3E799" w:rsidR="00EA6B2F" w:rsidRPr="009F4F6C" w:rsidRDefault="001344BF" w:rsidP="00A941AD">
      <w:pPr>
        <w:pStyle w:val="Lijstalinea"/>
        <w:numPr>
          <w:ilvl w:val="1"/>
          <w:numId w:val="27"/>
        </w:numPr>
        <w:rPr>
          <w:szCs w:val="24"/>
          <w:lang w:val="fr-BE"/>
        </w:rPr>
      </w:pPr>
      <w:r w:rsidRPr="009F4F6C">
        <w:rPr>
          <w:szCs w:val="24"/>
          <w:lang w:val="fr-BE"/>
        </w:rPr>
        <w:t xml:space="preserve">Fiches </w:t>
      </w:r>
      <w:r w:rsidR="00CB2C01" w:rsidRPr="009F4F6C">
        <w:rPr>
          <w:szCs w:val="24"/>
          <w:lang w:val="fr-BE"/>
        </w:rPr>
        <w:t>des matériaux suspect</w:t>
      </w:r>
      <w:r w:rsidR="00CF0C65" w:rsidRPr="009F4F6C">
        <w:rPr>
          <w:szCs w:val="24"/>
          <w:lang w:val="fr-BE"/>
        </w:rPr>
        <w:t>s</w:t>
      </w:r>
      <w:r w:rsidR="00CB2C01" w:rsidRPr="009F4F6C">
        <w:rPr>
          <w:szCs w:val="24"/>
          <w:lang w:val="fr-BE"/>
        </w:rPr>
        <w:t xml:space="preserve"> avec photos </w:t>
      </w:r>
    </w:p>
    <w:p w14:paraId="4C2F56B4" w14:textId="0AF8B1FA" w:rsidR="001344BF" w:rsidRPr="00E26790" w:rsidRDefault="001344BF" w:rsidP="001344BF">
      <w:pPr>
        <w:pStyle w:val="Lijstalinea"/>
        <w:ind w:left="1410"/>
        <w:rPr>
          <w:sz w:val="20"/>
          <w:szCs w:val="24"/>
          <w:lang w:val="fr-BE"/>
        </w:rPr>
      </w:pPr>
    </w:p>
    <w:tbl>
      <w:tblPr>
        <w:tblStyle w:val="Tabelraster"/>
        <w:tblW w:w="0" w:type="auto"/>
        <w:tblInd w:w="1410" w:type="dxa"/>
        <w:tblLook w:val="04A0" w:firstRow="1" w:lastRow="0" w:firstColumn="1" w:lastColumn="0" w:noHBand="0" w:noVBand="1"/>
      </w:tblPr>
      <w:tblGrid>
        <w:gridCol w:w="4756"/>
        <w:gridCol w:w="4597"/>
      </w:tblGrid>
      <w:tr w:rsidR="001344BF" w:rsidRPr="00FE42AE" w14:paraId="4C2F56B7" w14:textId="338C44FA" w:rsidTr="001344BF">
        <w:tc>
          <w:tcPr>
            <w:tcW w:w="9579" w:type="dxa"/>
            <w:gridSpan w:val="2"/>
            <w:vAlign w:val="center"/>
          </w:tcPr>
          <w:p w14:paraId="4C2F56B5" w14:textId="2B1559D9" w:rsidR="001344BF" w:rsidRPr="00E26790" w:rsidRDefault="001344BF" w:rsidP="00ED40CC">
            <w:pPr>
              <w:pStyle w:val="Lijstalinea"/>
              <w:ind w:left="0"/>
              <w:jc w:val="center"/>
              <w:rPr>
                <w:b/>
                <w:sz w:val="20"/>
                <w:szCs w:val="24"/>
                <w:lang w:val="fr-BE"/>
              </w:rPr>
            </w:pPr>
            <w:r w:rsidRPr="00E26790">
              <w:rPr>
                <w:b/>
                <w:sz w:val="20"/>
                <w:szCs w:val="24"/>
                <w:lang w:val="fr-BE"/>
              </w:rPr>
              <w:t xml:space="preserve">Fiche </w:t>
            </w:r>
            <w:r w:rsidR="00CF0C65" w:rsidRPr="00E26790">
              <w:rPr>
                <w:b/>
                <w:sz w:val="20"/>
                <w:szCs w:val="24"/>
                <w:lang w:val="fr-BE"/>
              </w:rPr>
              <w:t xml:space="preserve">de matériau suspect </w:t>
            </w:r>
            <w:r w:rsidRPr="00E26790">
              <w:rPr>
                <w:b/>
                <w:sz w:val="20"/>
                <w:szCs w:val="24"/>
                <w:lang w:val="fr-BE"/>
              </w:rPr>
              <w:t xml:space="preserve">: </w:t>
            </w:r>
            <w:r w:rsidR="00CF0C65" w:rsidRPr="00E26790">
              <w:rPr>
                <w:b/>
                <w:sz w:val="20"/>
                <w:szCs w:val="24"/>
                <w:lang w:val="fr-BE"/>
              </w:rPr>
              <w:t>numéro source unique</w:t>
            </w:r>
          </w:p>
          <w:p w14:paraId="4C2F56B6" w14:textId="6D24B04C" w:rsidR="001344BF" w:rsidRPr="00E26790" w:rsidRDefault="001344BF" w:rsidP="001344BF">
            <w:pPr>
              <w:pStyle w:val="Lijstalinea"/>
              <w:ind w:left="0"/>
              <w:rPr>
                <w:b/>
                <w:sz w:val="20"/>
                <w:szCs w:val="24"/>
                <w:lang w:val="fr-BE"/>
              </w:rPr>
            </w:pPr>
          </w:p>
        </w:tc>
      </w:tr>
      <w:tr w:rsidR="001344BF" w:rsidRPr="00FE42AE" w14:paraId="4C2F56BA" w14:textId="1A09DBF6" w:rsidTr="001344BF">
        <w:tc>
          <w:tcPr>
            <w:tcW w:w="4873" w:type="dxa"/>
          </w:tcPr>
          <w:p w14:paraId="4C2F56B8" w14:textId="1FDF83AA" w:rsidR="001344BF" w:rsidRPr="00E26790" w:rsidRDefault="001344BF" w:rsidP="00CF0C65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Type</w:t>
            </w:r>
            <w:r w:rsidR="00724D9A">
              <w:rPr>
                <w:sz w:val="20"/>
                <w:szCs w:val="24"/>
                <w:lang w:val="fr-BE"/>
              </w:rPr>
              <w:t xml:space="preserve"> </w:t>
            </w:r>
            <w:r w:rsidR="00724D9A" w:rsidRPr="00FE42AE">
              <w:rPr>
                <w:sz w:val="20"/>
                <w:szCs w:val="24"/>
                <w:lang w:val="fr-BE"/>
              </w:rPr>
              <w:t>(</w:t>
            </w:r>
            <w:r w:rsidR="00FE42AE" w:rsidRPr="00FE42AE">
              <w:rPr>
                <w:sz w:val="20"/>
                <w:szCs w:val="24"/>
                <w:lang w:val="fr-BE"/>
              </w:rPr>
              <w:t>p. ex.</w:t>
            </w:r>
            <w:r w:rsidR="00724D9A" w:rsidRPr="00FE42AE">
              <w:rPr>
                <w:sz w:val="20"/>
                <w:szCs w:val="24"/>
                <w:lang w:val="fr-BE"/>
              </w:rPr>
              <w:t xml:space="preserve">: </w:t>
            </w:r>
            <w:r w:rsidR="00866B5C" w:rsidRPr="00FE42AE">
              <w:rPr>
                <w:sz w:val="20"/>
                <w:szCs w:val="24"/>
                <w:lang w:val="fr-BE"/>
              </w:rPr>
              <w:t>t</w:t>
            </w:r>
            <w:r w:rsidR="00724D9A" w:rsidRPr="00FE42AE">
              <w:rPr>
                <w:sz w:val="20"/>
                <w:szCs w:val="24"/>
                <w:lang w:val="fr-BE"/>
              </w:rPr>
              <w:t>ôle ondulée en amiante-ciment)</w:t>
            </w:r>
          </w:p>
        </w:tc>
        <w:tc>
          <w:tcPr>
            <w:tcW w:w="4706" w:type="dxa"/>
          </w:tcPr>
          <w:p w14:paraId="4C2F56B9" w14:textId="72BB6475" w:rsidR="001344BF" w:rsidRPr="00E26790" w:rsidRDefault="001344BF" w:rsidP="001344BF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</w:p>
        </w:tc>
      </w:tr>
      <w:tr w:rsidR="00501A1A" w:rsidRPr="00FE42AE" w14:paraId="113C40BF" w14:textId="77777777" w:rsidTr="001344BF">
        <w:tc>
          <w:tcPr>
            <w:tcW w:w="4873" w:type="dxa"/>
          </w:tcPr>
          <w:p w14:paraId="18356CFF" w14:textId="6CA88301" w:rsidR="00501A1A" w:rsidRPr="00E26790" w:rsidRDefault="00501A1A" w:rsidP="00CF0C65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  <w:r>
              <w:rPr>
                <w:sz w:val="20"/>
                <w:szCs w:val="24"/>
                <w:lang w:val="fr-BE"/>
              </w:rPr>
              <w:t>Application</w:t>
            </w:r>
            <w:r w:rsidR="00724D9A">
              <w:rPr>
                <w:sz w:val="20"/>
                <w:szCs w:val="24"/>
                <w:lang w:val="fr-BE"/>
              </w:rPr>
              <w:t xml:space="preserve"> </w:t>
            </w:r>
            <w:r w:rsidR="00724D9A" w:rsidRPr="00FE42AE">
              <w:rPr>
                <w:sz w:val="20"/>
                <w:szCs w:val="24"/>
                <w:lang w:val="fr-BE"/>
              </w:rPr>
              <w:t xml:space="preserve">( </w:t>
            </w:r>
            <w:r w:rsidR="00FE42AE" w:rsidRPr="00FE42AE">
              <w:rPr>
                <w:sz w:val="20"/>
                <w:szCs w:val="24"/>
                <w:lang w:val="fr-BE"/>
              </w:rPr>
              <w:t>p. ex.</w:t>
            </w:r>
            <w:r w:rsidR="00724D9A" w:rsidRPr="00FE42AE">
              <w:rPr>
                <w:sz w:val="20"/>
                <w:szCs w:val="24"/>
                <w:lang w:val="fr-BE"/>
              </w:rPr>
              <w:t xml:space="preserve">: </w:t>
            </w:r>
            <w:r w:rsidR="00866B5C" w:rsidRPr="00FE42AE">
              <w:rPr>
                <w:sz w:val="20"/>
                <w:szCs w:val="24"/>
                <w:lang w:val="fr-BE"/>
              </w:rPr>
              <w:t>c</w:t>
            </w:r>
            <w:r w:rsidR="00724D9A" w:rsidRPr="00FE42AE">
              <w:rPr>
                <w:sz w:val="20"/>
                <w:szCs w:val="24"/>
                <w:lang w:val="fr-BE"/>
              </w:rPr>
              <w:t>ouverture de toiture)</w:t>
            </w:r>
          </w:p>
        </w:tc>
        <w:tc>
          <w:tcPr>
            <w:tcW w:w="4706" w:type="dxa"/>
          </w:tcPr>
          <w:p w14:paraId="54A3212B" w14:textId="77777777" w:rsidR="00501A1A" w:rsidRPr="00E26790" w:rsidRDefault="00501A1A" w:rsidP="001344BF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</w:p>
        </w:tc>
      </w:tr>
      <w:tr w:rsidR="001344BF" w:rsidRPr="00FE42AE" w14:paraId="4C2F56BD" w14:textId="17EE0B72" w:rsidTr="001344BF">
        <w:tc>
          <w:tcPr>
            <w:tcW w:w="4873" w:type="dxa"/>
          </w:tcPr>
          <w:p w14:paraId="4C2F56BB" w14:textId="06928F01" w:rsidR="001344BF" w:rsidRPr="00E26790" w:rsidRDefault="00CF0C65" w:rsidP="00CF0C65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Détermination exacte de la localisation</w:t>
            </w:r>
            <w:r w:rsidR="00E66EB1">
              <w:rPr>
                <w:sz w:val="20"/>
                <w:szCs w:val="24"/>
                <w:lang w:val="fr-BE"/>
              </w:rPr>
              <w:t xml:space="preserve"> </w:t>
            </w:r>
          </w:p>
        </w:tc>
        <w:tc>
          <w:tcPr>
            <w:tcW w:w="4706" w:type="dxa"/>
          </w:tcPr>
          <w:p w14:paraId="4C2F56BC" w14:textId="6D595A67" w:rsidR="001344BF" w:rsidRPr="00E26790" w:rsidRDefault="00EA1F73" w:rsidP="00EA1F73">
            <w:pPr>
              <w:pStyle w:val="Lijstalinea"/>
              <w:ind w:left="0"/>
              <w:rPr>
                <w:i/>
                <w:sz w:val="20"/>
                <w:szCs w:val="24"/>
                <w:lang w:val="fr-BE"/>
              </w:rPr>
            </w:pPr>
            <w:r>
              <w:rPr>
                <w:i/>
                <w:sz w:val="20"/>
                <w:szCs w:val="24"/>
                <w:lang w:val="fr-BE"/>
              </w:rPr>
              <w:t>Avec lien univoque</w:t>
            </w:r>
            <w:r w:rsidR="00CF0C65" w:rsidRPr="00E26790">
              <w:rPr>
                <w:i/>
                <w:sz w:val="20"/>
                <w:szCs w:val="24"/>
                <w:lang w:val="fr-BE"/>
              </w:rPr>
              <w:t xml:space="preserve"> via </w:t>
            </w:r>
            <w:r w:rsidR="001344BF" w:rsidRPr="00E26790">
              <w:rPr>
                <w:i/>
                <w:sz w:val="20"/>
                <w:szCs w:val="24"/>
                <w:lang w:val="fr-BE"/>
              </w:rPr>
              <w:t>cod</w:t>
            </w:r>
            <w:r w:rsidR="00CF0C65" w:rsidRPr="00E26790">
              <w:rPr>
                <w:i/>
                <w:sz w:val="20"/>
                <w:szCs w:val="24"/>
                <w:lang w:val="fr-BE"/>
              </w:rPr>
              <w:t>age unique vers les plans</w:t>
            </w:r>
            <w:r w:rsidR="001344BF" w:rsidRPr="00E26790">
              <w:rPr>
                <w:i/>
                <w:sz w:val="20"/>
                <w:szCs w:val="24"/>
                <w:lang w:val="fr-BE"/>
              </w:rPr>
              <w:t>/sch</w:t>
            </w:r>
            <w:r w:rsidR="00CF0C65" w:rsidRPr="00E26790">
              <w:rPr>
                <w:i/>
                <w:sz w:val="20"/>
                <w:szCs w:val="24"/>
                <w:lang w:val="fr-BE"/>
              </w:rPr>
              <w:t>é</w:t>
            </w:r>
            <w:r w:rsidR="001344BF" w:rsidRPr="00E26790">
              <w:rPr>
                <w:i/>
                <w:sz w:val="20"/>
                <w:szCs w:val="24"/>
                <w:lang w:val="fr-BE"/>
              </w:rPr>
              <w:t xml:space="preserve">mas </w:t>
            </w:r>
            <w:r w:rsidR="00CF0C65" w:rsidRPr="00E26790">
              <w:rPr>
                <w:i/>
                <w:sz w:val="20"/>
                <w:szCs w:val="24"/>
                <w:lang w:val="fr-BE"/>
              </w:rPr>
              <w:t>au</w:t>
            </w:r>
            <w:r w:rsidR="001344BF" w:rsidRPr="00E26790">
              <w:rPr>
                <w:i/>
                <w:sz w:val="20"/>
                <w:szCs w:val="24"/>
                <w:lang w:val="fr-BE"/>
              </w:rPr>
              <w:t xml:space="preserve"> 7.2</w:t>
            </w:r>
          </w:p>
        </w:tc>
      </w:tr>
      <w:tr w:rsidR="001344BF" w:rsidRPr="00FE42AE" w14:paraId="4C2F56C0" w14:textId="3DF8057D" w:rsidTr="001344BF">
        <w:tc>
          <w:tcPr>
            <w:tcW w:w="4873" w:type="dxa"/>
          </w:tcPr>
          <w:p w14:paraId="4C2F56BE" w14:textId="58B893AA" w:rsidR="001344BF" w:rsidRPr="00E26790" w:rsidRDefault="00CF0C65" w:rsidP="00CF0C65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Quantité estimée</w:t>
            </w:r>
            <w:r w:rsidR="00724D9A">
              <w:rPr>
                <w:sz w:val="20"/>
                <w:szCs w:val="24"/>
                <w:lang w:val="fr-BE"/>
              </w:rPr>
              <w:t xml:space="preserve"> </w:t>
            </w:r>
            <w:r w:rsidR="00724D9A" w:rsidRPr="00FE42AE">
              <w:rPr>
                <w:sz w:val="20"/>
                <w:szCs w:val="24"/>
                <w:lang w:val="fr-BE"/>
              </w:rPr>
              <w:t>(</w:t>
            </w:r>
            <w:r w:rsidR="00FE42AE" w:rsidRPr="00FE42AE">
              <w:rPr>
                <w:sz w:val="20"/>
                <w:szCs w:val="24"/>
                <w:lang w:val="fr-BE"/>
              </w:rPr>
              <w:t>p. ex.</w:t>
            </w:r>
            <w:r w:rsidR="00724D9A" w:rsidRPr="00FE42AE">
              <w:rPr>
                <w:sz w:val="20"/>
                <w:szCs w:val="24"/>
                <w:lang w:val="fr-BE"/>
              </w:rPr>
              <w:t> : 75 m²)</w:t>
            </w:r>
          </w:p>
        </w:tc>
        <w:tc>
          <w:tcPr>
            <w:tcW w:w="4706" w:type="dxa"/>
          </w:tcPr>
          <w:p w14:paraId="4C2F56BF" w14:textId="202EC994" w:rsidR="001344BF" w:rsidRPr="00E26790" w:rsidRDefault="001344BF" w:rsidP="001344BF">
            <w:pPr>
              <w:pStyle w:val="Lijstalinea"/>
              <w:ind w:left="0"/>
              <w:rPr>
                <w:i/>
                <w:sz w:val="20"/>
                <w:szCs w:val="24"/>
                <w:lang w:val="fr-BE"/>
              </w:rPr>
            </w:pPr>
          </w:p>
        </w:tc>
      </w:tr>
      <w:tr w:rsidR="001344BF" w:rsidRPr="00FE42AE" w14:paraId="4C2F56C3" w14:textId="781EC9ED" w:rsidTr="001344BF">
        <w:tc>
          <w:tcPr>
            <w:tcW w:w="4873" w:type="dxa"/>
          </w:tcPr>
          <w:p w14:paraId="4C2F56C1" w14:textId="463B4A11" w:rsidR="001344BF" w:rsidRPr="00E26790" w:rsidRDefault="00CF0C65" w:rsidP="00CF0C65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Mode de fixation</w:t>
            </w:r>
            <w:r w:rsidR="00724D9A">
              <w:rPr>
                <w:sz w:val="20"/>
                <w:szCs w:val="24"/>
                <w:lang w:val="fr-BE"/>
              </w:rPr>
              <w:t xml:space="preserve"> </w:t>
            </w:r>
            <w:r w:rsidR="00724D9A" w:rsidRPr="00FE42AE">
              <w:rPr>
                <w:sz w:val="20"/>
                <w:szCs w:val="24"/>
                <w:lang w:val="fr-BE"/>
              </w:rPr>
              <w:t>(</w:t>
            </w:r>
            <w:r w:rsidR="00FE42AE" w:rsidRPr="00FE42AE">
              <w:rPr>
                <w:sz w:val="20"/>
                <w:szCs w:val="24"/>
                <w:lang w:val="fr-BE"/>
              </w:rPr>
              <w:t>p. ex.</w:t>
            </w:r>
            <w:r w:rsidR="00724D9A" w:rsidRPr="00FE42AE">
              <w:rPr>
                <w:sz w:val="20"/>
                <w:szCs w:val="24"/>
                <w:lang w:val="fr-BE"/>
              </w:rPr>
              <w:t>: vissées</w:t>
            </w:r>
            <w:r w:rsidR="00B20196" w:rsidRPr="00FE42AE">
              <w:rPr>
                <w:sz w:val="20"/>
                <w:szCs w:val="24"/>
                <w:lang w:val="fr-BE"/>
              </w:rPr>
              <w:t>)</w:t>
            </w:r>
            <w:r w:rsidR="00724D9A" w:rsidRPr="00FE42AE">
              <w:rPr>
                <w:sz w:val="20"/>
                <w:szCs w:val="24"/>
                <w:lang w:val="fr-BE"/>
              </w:rPr>
              <w:t xml:space="preserve"> </w:t>
            </w:r>
          </w:p>
        </w:tc>
        <w:tc>
          <w:tcPr>
            <w:tcW w:w="4706" w:type="dxa"/>
          </w:tcPr>
          <w:p w14:paraId="4C2F56C2" w14:textId="444DCF84" w:rsidR="001344BF" w:rsidRPr="00E26790" w:rsidRDefault="001344BF" w:rsidP="001344BF">
            <w:pPr>
              <w:pStyle w:val="Lijstalinea"/>
              <w:ind w:left="0"/>
              <w:rPr>
                <w:i/>
                <w:sz w:val="20"/>
                <w:szCs w:val="24"/>
                <w:lang w:val="fr-BE"/>
              </w:rPr>
            </w:pPr>
          </w:p>
        </w:tc>
      </w:tr>
      <w:tr w:rsidR="001344BF" w:rsidRPr="00FE42AE" w14:paraId="4C2F56C6" w14:textId="4D2A22D0" w:rsidTr="001344BF">
        <w:tc>
          <w:tcPr>
            <w:tcW w:w="4873" w:type="dxa"/>
          </w:tcPr>
          <w:p w14:paraId="4C2F56C4" w14:textId="5B7F5606" w:rsidR="001344BF" w:rsidRPr="00E26790" w:rsidRDefault="00CF0C65" w:rsidP="00CF0C65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Evaluation de l’état du matériau</w:t>
            </w:r>
            <w:r w:rsidR="00724D9A">
              <w:rPr>
                <w:sz w:val="20"/>
                <w:szCs w:val="24"/>
                <w:lang w:val="fr-BE"/>
              </w:rPr>
              <w:t xml:space="preserve"> </w:t>
            </w:r>
            <w:r w:rsidR="00724D9A" w:rsidRPr="00FE42AE">
              <w:rPr>
                <w:sz w:val="20"/>
                <w:szCs w:val="24"/>
                <w:lang w:val="fr-BE"/>
              </w:rPr>
              <w:t>(</w:t>
            </w:r>
            <w:r w:rsidR="00FE42AE" w:rsidRPr="00FE42AE">
              <w:rPr>
                <w:sz w:val="20"/>
                <w:szCs w:val="24"/>
                <w:lang w:val="fr-BE"/>
              </w:rPr>
              <w:t>p. ex.</w:t>
            </w:r>
            <w:r w:rsidR="00724D9A" w:rsidRPr="00FE42AE">
              <w:rPr>
                <w:sz w:val="20"/>
                <w:szCs w:val="24"/>
                <w:lang w:val="fr-BE"/>
              </w:rPr>
              <w:t>: bon état, pas de fibres apparentes à l’œil nu)</w:t>
            </w:r>
          </w:p>
        </w:tc>
        <w:tc>
          <w:tcPr>
            <w:tcW w:w="4706" w:type="dxa"/>
          </w:tcPr>
          <w:p w14:paraId="4C2F56C5" w14:textId="4E206E09" w:rsidR="001344BF" w:rsidRPr="00E26790" w:rsidRDefault="001344BF" w:rsidP="001344BF">
            <w:pPr>
              <w:pStyle w:val="Lijstalinea"/>
              <w:ind w:left="0"/>
              <w:rPr>
                <w:i/>
                <w:sz w:val="20"/>
                <w:szCs w:val="24"/>
                <w:lang w:val="fr-BE"/>
              </w:rPr>
            </w:pPr>
          </w:p>
        </w:tc>
      </w:tr>
      <w:tr w:rsidR="001344BF" w:rsidRPr="00FE42AE" w14:paraId="4C2F56C9" w14:textId="3B037790" w:rsidTr="001344BF">
        <w:tc>
          <w:tcPr>
            <w:tcW w:w="4873" w:type="dxa"/>
          </w:tcPr>
          <w:p w14:paraId="4C2F56C7" w14:textId="01BC212D" w:rsidR="001344BF" w:rsidRPr="00E26790" w:rsidRDefault="00CF0C65" w:rsidP="00CF0C65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 xml:space="preserve">Traitements/travaux susceptibles de donner lieu à une exposition </w:t>
            </w:r>
            <w:r w:rsidR="00724D9A" w:rsidRPr="00FE42AE">
              <w:rPr>
                <w:sz w:val="20"/>
                <w:szCs w:val="24"/>
                <w:lang w:val="fr-BE"/>
              </w:rPr>
              <w:t>(</w:t>
            </w:r>
            <w:r w:rsidR="00FE42AE" w:rsidRPr="00FE42AE">
              <w:rPr>
                <w:sz w:val="20"/>
                <w:szCs w:val="24"/>
                <w:lang w:val="fr-BE"/>
              </w:rPr>
              <w:t>p. ex.</w:t>
            </w:r>
            <w:r w:rsidR="00724D9A" w:rsidRPr="00FE42AE">
              <w:rPr>
                <w:sz w:val="20"/>
                <w:szCs w:val="24"/>
                <w:lang w:val="fr-BE"/>
              </w:rPr>
              <w:t xml:space="preserve"> </w:t>
            </w:r>
            <w:r w:rsidR="00F81701" w:rsidRPr="00FE42AE">
              <w:rPr>
                <w:sz w:val="20"/>
                <w:szCs w:val="24"/>
                <w:lang w:val="fr-BE"/>
              </w:rPr>
              <w:t>r</w:t>
            </w:r>
            <w:r w:rsidR="00724D9A" w:rsidRPr="00FE42AE">
              <w:rPr>
                <w:sz w:val="20"/>
                <w:szCs w:val="24"/>
                <w:lang w:val="fr-BE"/>
              </w:rPr>
              <w:t>éparation)</w:t>
            </w:r>
          </w:p>
        </w:tc>
        <w:tc>
          <w:tcPr>
            <w:tcW w:w="4706" w:type="dxa"/>
          </w:tcPr>
          <w:p w14:paraId="4C2F56C8" w14:textId="6527981D" w:rsidR="001344BF" w:rsidRPr="00E26790" w:rsidRDefault="001344BF" w:rsidP="001344BF">
            <w:pPr>
              <w:pStyle w:val="Lijstalinea"/>
              <w:ind w:left="0"/>
              <w:rPr>
                <w:i/>
                <w:sz w:val="20"/>
                <w:szCs w:val="24"/>
                <w:lang w:val="fr-BE"/>
              </w:rPr>
            </w:pPr>
          </w:p>
        </w:tc>
      </w:tr>
      <w:tr w:rsidR="001344BF" w:rsidRPr="00FE42AE" w14:paraId="4C2F56CC" w14:textId="2664E29B" w:rsidTr="001344BF">
        <w:tc>
          <w:tcPr>
            <w:tcW w:w="4873" w:type="dxa"/>
          </w:tcPr>
          <w:p w14:paraId="4C2F56CA" w14:textId="735C664B" w:rsidR="001344BF" w:rsidRPr="00E26790" w:rsidRDefault="00CF0C65" w:rsidP="00CF0C65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Lieu(x) de la (les) prise(s) d’échantillon(s)</w:t>
            </w:r>
            <w:r w:rsidR="004B1A41">
              <w:rPr>
                <w:sz w:val="20"/>
                <w:szCs w:val="24"/>
                <w:lang w:val="fr-BE"/>
              </w:rPr>
              <w:t xml:space="preserve"> (le cas échéant)</w:t>
            </w:r>
          </w:p>
        </w:tc>
        <w:tc>
          <w:tcPr>
            <w:tcW w:w="4706" w:type="dxa"/>
          </w:tcPr>
          <w:p w14:paraId="4C2F56CB" w14:textId="51F45B71" w:rsidR="001344BF" w:rsidRPr="00E26790" w:rsidRDefault="00CF0C65" w:rsidP="00EA1F73">
            <w:pPr>
              <w:pStyle w:val="Lijstalinea"/>
              <w:ind w:left="0"/>
              <w:rPr>
                <w:i/>
                <w:sz w:val="20"/>
                <w:szCs w:val="24"/>
                <w:lang w:val="fr-BE"/>
              </w:rPr>
            </w:pPr>
            <w:r w:rsidRPr="00E26790">
              <w:rPr>
                <w:i/>
                <w:sz w:val="20"/>
                <w:szCs w:val="24"/>
                <w:lang w:val="fr-BE"/>
              </w:rPr>
              <w:t xml:space="preserve">Chaque échantillon est pourvu d’un codage unique qui prévoit un lien </w:t>
            </w:r>
            <w:r w:rsidR="00EA1F73">
              <w:rPr>
                <w:i/>
                <w:sz w:val="20"/>
                <w:szCs w:val="24"/>
                <w:lang w:val="fr-BE"/>
              </w:rPr>
              <w:t>univoque</w:t>
            </w:r>
            <w:r w:rsidRPr="00E26790">
              <w:rPr>
                <w:i/>
                <w:sz w:val="20"/>
                <w:szCs w:val="24"/>
                <w:lang w:val="fr-BE"/>
              </w:rPr>
              <w:t xml:space="preserve"> vers les plans/schémas</w:t>
            </w:r>
            <w:r w:rsidR="001344BF" w:rsidRPr="00E26790">
              <w:rPr>
                <w:i/>
                <w:sz w:val="20"/>
                <w:szCs w:val="24"/>
                <w:lang w:val="fr-BE"/>
              </w:rPr>
              <w:t xml:space="preserve"> </w:t>
            </w:r>
            <w:r w:rsidRPr="00E26790">
              <w:rPr>
                <w:i/>
                <w:sz w:val="20"/>
                <w:szCs w:val="24"/>
                <w:lang w:val="fr-BE"/>
              </w:rPr>
              <w:t>au point</w:t>
            </w:r>
            <w:r w:rsidR="001344BF" w:rsidRPr="00E26790">
              <w:rPr>
                <w:i/>
                <w:sz w:val="20"/>
                <w:szCs w:val="24"/>
                <w:lang w:val="fr-BE"/>
              </w:rPr>
              <w:t xml:space="preserve"> 7.2 e</w:t>
            </w:r>
            <w:r w:rsidRPr="00E26790">
              <w:rPr>
                <w:i/>
                <w:sz w:val="20"/>
                <w:szCs w:val="24"/>
                <w:lang w:val="fr-BE"/>
              </w:rPr>
              <w:t>t les rapports d’</w:t>
            </w:r>
            <w:r w:rsidR="001344BF" w:rsidRPr="00E26790">
              <w:rPr>
                <w:i/>
                <w:sz w:val="20"/>
                <w:szCs w:val="24"/>
                <w:lang w:val="fr-BE"/>
              </w:rPr>
              <w:t>analyse</w:t>
            </w:r>
            <w:r w:rsidRPr="00E26790">
              <w:rPr>
                <w:i/>
                <w:sz w:val="20"/>
                <w:szCs w:val="24"/>
                <w:lang w:val="fr-BE"/>
              </w:rPr>
              <w:t xml:space="preserve"> au point </w:t>
            </w:r>
            <w:r w:rsidR="001344BF" w:rsidRPr="00E26790">
              <w:rPr>
                <w:i/>
                <w:sz w:val="20"/>
                <w:szCs w:val="24"/>
                <w:lang w:val="fr-BE"/>
              </w:rPr>
              <w:t>7.3</w:t>
            </w:r>
          </w:p>
        </w:tc>
      </w:tr>
      <w:tr w:rsidR="001344BF" w:rsidRPr="0010708A" w14:paraId="4C2F56CF" w14:textId="0DDD999C" w:rsidTr="001344BF">
        <w:tc>
          <w:tcPr>
            <w:tcW w:w="4873" w:type="dxa"/>
          </w:tcPr>
          <w:p w14:paraId="4C2F56CD" w14:textId="0ED68942" w:rsidR="001344BF" w:rsidRPr="00E26790" w:rsidRDefault="00CF0C65" w:rsidP="00CF0C65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Remarques complémentaires</w:t>
            </w:r>
          </w:p>
        </w:tc>
        <w:tc>
          <w:tcPr>
            <w:tcW w:w="4706" w:type="dxa"/>
          </w:tcPr>
          <w:p w14:paraId="4C2F56CE" w14:textId="575C600C" w:rsidR="001344BF" w:rsidRPr="00E26790" w:rsidRDefault="001344BF" w:rsidP="001344BF">
            <w:pPr>
              <w:pStyle w:val="Lijstalinea"/>
              <w:ind w:left="0"/>
              <w:rPr>
                <w:i/>
                <w:sz w:val="20"/>
                <w:szCs w:val="24"/>
                <w:lang w:val="fr-BE"/>
              </w:rPr>
            </w:pPr>
          </w:p>
        </w:tc>
      </w:tr>
      <w:tr w:rsidR="001344BF" w:rsidRPr="0010708A" w14:paraId="4C2F56D2" w14:textId="4B2136DC" w:rsidTr="001344BF">
        <w:tc>
          <w:tcPr>
            <w:tcW w:w="9579" w:type="dxa"/>
            <w:gridSpan w:val="2"/>
            <w:vAlign w:val="center"/>
          </w:tcPr>
          <w:p w14:paraId="4C2F56D0" w14:textId="3F798554" w:rsidR="001344BF" w:rsidRPr="00E26790" w:rsidRDefault="001344BF" w:rsidP="00A941AD">
            <w:pPr>
              <w:pStyle w:val="Lijstalinea"/>
              <w:ind w:left="0"/>
              <w:jc w:val="center"/>
              <w:rPr>
                <w:b/>
                <w:sz w:val="20"/>
                <w:szCs w:val="24"/>
                <w:lang w:val="fr-BE"/>
              </w:rPr>
            </w:pPr>
            <w:r w:rsidRPr="00E26790">
              <w:rPr>
                <w:b/>
                <w:sz w:val="20"/>
                <w:szCs w:val="24"/>
                <w:lang w:val="fr-BE"/>
              </w:rPr>
              <w:t>Conclusi</w:t>
            </w:r>
            <w:r w:rsidR="00CF0C65" w:rsidRPr="00E26790">
              <w:rPr>
                <w:b/>
                <w:sz w:val="20"/>
                <w:szCs w:val="24"/>
                <w:lang w:val="fr-BE"/>
              </w:rPr>
              <w:t>on</w:t>
            </w:r>
          </w:p>
          <w:p w14:paraId="4C2F56D1" w14:textId="6FC747FA" w:rsidR="001344BF" w:rsidRPr="00E26790" w:rsidRDefault="001344BF" w:rsidP="001344BF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</w:p>
        </w:tc>
      </w:tr>
      <w:tr w:rsidR="001344BF" w:rsidRPr="00FE42AE" w14:paraId="4C2F56D6" w14:textId="0C8AA6A4" w:rsidTr="001344BF">
        <w:tc>
          <w:tcPr>
            <w:tcW w:w="4873" w:type="dxa"/>
          </w:tcPr>
          <w:p w14:paraId="4C2F56D3" w14:textId="47FEC411" w:rsidR="001344BF" w:rsidRPr="00E26790" w:rsidRDefault="008E4C22" w:rsidP="001344BF">
            <w:pPr>
              <w:jc w:val="left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Le</w:t>
            </w:r>
            <w:r w:rsidR="00CF0C65" w:rsidRPr="00E26790">
              <w:rPr>
                <w:sz w:val="20"/>
                <w:szCs w:val="24"/>
                <w:lang w:val="fr-BE"/>
              </w:rPr>
              <w:t xml:space="preserve"> matériau contient de l’amiante</w:t>
            </w:r>
            <w:r w:rsidR="001344BF" w:rsidRPr="00E26790">
              <w:rPr>
                <w:sz w:val="20"/>
                <w:szCs w:val="24"/>
                <w:lang w:val="fr-BE"/>
              </w:rPr>
              <w:t>/</w:t>
            </w:r>
          </w:p>
          <w:p w14:paraId="4C2F56D4" w14:textId="14CA0301" w:rsidR="001344BF" w:rsidRPr="00E26790" w:rsidRDefault="00CF0C65" w:rsidP="00CF0C65">
            <w:pPr>
              <w:pStyle w:val="Lijstalinea"/>
              <w:ind w:left="0"/>
              <w:jc w:val="left"/>
              <w:rPr>
                <w:sz w:val="20"/>
                <w:szCs w:val="24"/>
                <w:lang w:val="fr-BE"/>
              </w:rPr>
            </w:pPr>
            <w:r w:rsidRPr="00E26790">
              <w:rPr>
                <w:sz w:val="20"/>
                <w:szCs w:val="24"/>
                <w:lang w:val="fr-BE"/>
              </w:rPr>
              <w:t>On n’a pas détecté d’amiante dans le matériau</w:t>
            </w:r>
          </w:p>
        </w:tc>
        <w:tc>
          <w:tcPr>
            <w:tcW w:w="4706" w:type="dxa"/>
          </w:tcPr>
          <w:p w14:paraId="4C2F56D5" w14:textId="24E1FBEE" w:rsidR="001344BF" w:rsidRPr="00E26790" w:rsidRDefault="001344BF" w:rsidP="001344BF">
            <w:pPr>
              <w:pStyle w:val="Lijstalinea"/>
              <w:ind w:left="0"/>
              <w:rPr>
                <w:sz w:val="20"/>
                <w:szCs w:val="24"/>
                <w:lang w:val="fr-BE"/>
              </w:rPr>
            </w:pPr>
          </w:p>
        </w:tc>
      </w:tr>
    </w:tbl>
    <w:p w14:paraId="4C2F56D7" w14:textId="63C67D8D" w:rsidR="00015F42" w:rsidRDefault="00015F42" w:rsidP="001344BF">
      <w:pPr>
        <w:pStyle w:val="Lijstalinea"/>
        <w:ind w:left="1410"/>
        <w:rPr>
          <w:sz w:val="20"/>
          <w:szCs w:val="24"/>
          <w:lang w:val="fr-BE"/>
        </w:rPr>
      </w:pPr>
    </w:p>
    <w:p w14:paraId="50CB65EF" w14:textId="77777777" w:rsidR="00501A1A" w:rsidRDefault="00501A1A" w:rsidP="001344BF">
      <w:pPr>
        <w:pStyle w:val="Lijstalinea"/>
        <w:ind w:left="1410"/>
        <w:rPr>
          <w:sz w:val="20"/>
          <w:szCs w:val="24"/>
          <w:lang w:val="fr-BE"/>
        </w:rPr>
      </w:pPr>
    </w:p>
    <w:p w14:paraId="4C2F56D8" w14:textId="47C50EDC" w:rsidR="001344BF" w:rsidRPr="00E26790" w:rsidRDefault="00CF0C65" w:rsidP="00A941AD">
      <w:pPr>
        <w:pStyle w:val="Lijstalinea"/>
        <w:numPr>
          <w:ilvl w:val="1"/>
          <w:numId w:val="27"/>
        </w:numPr>
        <w:rPr>
          <w:sz w:val="20"/>
          <w:szCs w:val="24"/>
          <w:lang w:val="fr-BE"/>
        </w:rPr>
      </w:pPr>
      <w:r w:rsidRPr="00E26790">
        <w:rPr>
          <w:sz w:val="20"/>
          <w:szCs w:val="24"/>
          <w:lang w:val="fr-BE"/>
        </w:rPr>
        <w:t>Tableau récapitulatif des applicatio</w:t>
      </w:r>
      <w:r w:rsidR="00FA25FC" w:rsidRPr="00E26790">
        <w:rPr>
          <w:sz w:val="20"/>
          <w:szCs w:val="24"/>
          <w:lang w:val="fr-BE"/>
        </w:rPr>
        <w:t>n</w:t>
      </w:r>
      <w:r w:rsidRPr="00E26790">
        <w:rPr>
          <w:sz w:val="20"/>
          <w:szCs w:val="24"/>
          <w:lang w:val="fr-BE"/>
        </w:rPr>
        <w:t>s d’amiante</w:t>
      </w:r>
    </w:p>
    <w:p w14:paraId="4C2F56D9" w14:textId="6DD7E55C" w:rsidR="00057EEA" w:rsidRPr="00E26790" w:rsidRDefault="00057EEA" w:rsidP="00057EEA">
      <w:pPr>
        <w:pStyle w:val="Lijstalinea"/>
        <w:ind w:left="1410"/>
        <w:rPr>
          <w:sz w:val="20"/>
          <w:szCs w:val="24"/>
          <w:lang w:val="fr-BE"/>
        </w:rPr>
      </w:pPr>
    </w:p>
    <w:tbl>
      <w:tblPr>
        <w:tblStyle w:val="Tabelraster"/>
        <w:tblW w:w="0" w:type="auto"/>
        <w:tblInd w:w="1410" w:type="dxa"/>
        <w:tblLayout w:type="fixed"/>
        <w:tblLook w:val="04A0" w:firstRow="1" w:lastRow="0" w:firstColumn="1" w:lastColumn="0" w:noHBand="0" w:noVBand="1"/>
      </w:tblPr>
      <w:tblGrid>
        <w:gridCol w:w="966"/>
        <w:gridCol w:w="1134"/>
        <w:gridCol w:w="851"/>
        <w:gridCol w:w="1057"/>
        <w:gridCol w:w="965"/>
        <w:gridCol w:w="1096"/>
        <w:gridCol w:w="993"/>
        <w:gridCol w:w="1417"/>
        <w:gridCol w:w="1100"/>
      </w:tblGrid>
      <w:tr w:rsidR="005F2BF7" w:rsidRPr="00FE42AE" w14:paraId="4C2F56E0" w14:textId="3EB2FA0F" w:rsidTr="00CF0C65">
        <w:trPr>
          <w:trHeight w:val="411"/>
        </w:trPr>
        <w:tc>
          <w:tcPr>
            <w:tcW w:w="4008" w:type="dxa"/>
            <w:gridSpan w:val="4"/>
          </w:tcPr>
          <w:p w14:paraId="4C2F56DA" w14:textId="6B243FA0" w:rsidR="005F2BF7" w:rsidRPr="00E26790" w:rsidRDefault="00CF0C65" w:rsidP="00ED40CC">
            <w:pPr>
              <w:pStyle w:val="Lijstalinea"/>
              <w:ind w:left="0"/>
              <w:jc w:val="center"/>
              <w:rPr>
                <w:sz w:val="18"/>
                <w:szCs w:val="24"/>
                <w:lang w:val="fr-BE"/>
              </w:rPr>
            </w:pPr>
            <w:r w:rsidRPr="00E26790">
              <w:rPr>
                <w:sz w:val="18"/>
                <w:szCs w:val="24"/>
                <w:lang w:val="fr-BE"/>
              </w:rPr>
              <w:t>Localisation</w:t>
            </w:r>
          </w:p>
        </w:tc>
        <w:tc>
          <w:tcPr>
            <w:tcW w:w="965" w:type="dxa"/>
            <w:vMerge w:val="restart"/>
          </w:tcPr>
          <w:p w14:paraId="4C2F56DB" w14:textId="1FD0BBAD" w:rsidR="005F2BF7" w:rsidRPr="00E26790" w:rsidRDefault="00CF0C65" w:rsidP="00CF0C65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  <w:r w:rsidRPr="00E26790">
              <w:rPr>
                <w:sz w:val="18"/>
                <w:szCs w:val="24"/>
                <w:lang w:val="fr-BE"/>
              </w:rPr>
              <w:t>Application dans laquelle l’amiante est intégré</w:t>
            </w:r>
          </w:p>
        </w:tc>
        <w:tc>
          <w:tcPr>
            <w:tcW w:w="1096" w:type="dxa"/>
            <w:vMerge w:val="restart"/>
          </w:tcPr>
          <w:p w14:paraId="4C2F56DC" w14:textId="4F1AE615" w:rsidR="005F2BF7" w:rsidRPr="00E26790" w:rsidRDefault="00CF0C65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  <w:r w:rsidRPr="00E26790">
              <w:rPr>
                <w:sz w:val="18"/>
                <w:szCs w:val="24"/>
                <w:lang w:val="fr-BE"/>
              </w:rPr>
              <w:t>Quantité estimée de matériau contenant de l’amiante</w:t>
            </w:r>
          </w:p>
        </w:tc>
        <w:tc>
          <w:tcPr>
            <w:tcW w:w="993" w:type="dxa"/>
            <w:vMerge w:val="restart"/>
          </w:tcPr>
          <w:p w14:paraId="4C2F56DD" w14:textId="60399756" w:rsidR="005F2BF7" w:rsidRPr="00E26790" w:rsidRDefault="00CF0C65" w:rsidP="00CF0C65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  <w:r w:rsidRPr="00E26790">
              <w:rPr>
                <w:sz w:val="18"/>
                <w:szCs w:val="24"/>
                <w:lang w:val="fr-BE"/>
              </w:rPr>
              <w:t>Evaluation de l’état du matériau</w:t>
            </w:r>
          </w:p>
        </w:tc>
        <w:tc>
          <w:tcPr>
            <w:tcW w:w="1417" w:type="dxa"/>
            <w:vMerge w:val="restart"/>
          </w:tcPr>
          <w:p w14:paraId="4C2F56DE" w14:textId="2BB6527C" w:rsidR="005F2BF7" w:rsidRPr="00E26790" w:rsidRDefault="00CF0C65" w:rsidP="00CF0C65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  <w:r w:rsidRPr="00E26790">
              <w:rPr>
                <w:sz w:val="18"/>
                <w:szCs w:val="24"/>
                <w:lang w:val="fr-BE"/>
              </w:rPr>
              <w:t>Traitements</w:t>
            </w:r>
            <w:r w:rsidR="005F2BF7" w:rsidRPr="00E26790">
              <w:rPr>
                <w:sz w:val="18"/>
                <w:szCs w:val="24"/>
                <w:lang w:val="fr-BE"/>
              </w:rPr>
              <w:t>/</w:t>
            </w:r>
            <w:r w:rsidRPr="00E26790">
              <w:rPr>
                <w:sz w:val="18"/>
                <w:szCs w:val="24"/>
                <w:lang w:val="fr-BE"/>
              </w:rPr>
              <w:t xml:space="preserve">travaux </w:t>
            </w:r>
            <w:r w:rsidR="00FA25FC" w:rsidRPr="00E26790">
              <w:rPr>
                <w:sz w:val="18"/>
                <w:szCs w:val="24"/>
                <w:lang w:val="fr-BE"/>
              </w:rPr>
              <w:t>susceptibles</w:t>
            </w:r>
            <w:r w:rsidRPr="00E26790">
              <w:rPr>
                <w:sz w:val="18"/>
                <w:szCs w:val="24"/>
                <w:lang w:val="fr-BE"/>
              </w:rPr>
              <w:t xml:space="preserve"> de donner lieu à une exposition </w:t>
            </w:r>
          </w:p>
        </w:tc>
        <w:tc>
          <w:tcPr>
            <w:tcW w:w="1100" w:type="dxa"/>
            <w:vMerge w:val="restart"/>
          </w:tcPr>
          <w:p w14:paraId="4C2F56DF" w14:textId="71A76AA4" w:rsidR="005F2BF7" w:rsidRPr="00E26790" w:rsidRDefault="005F2BF7" w:rsidP="00CF0C65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  <w:r w:rsidRPr="00E26790">
              <w:rPr>
                <w:sz w:val="18"/>
                <w:szCs w:val="24"/>
                <w:lang w:val="fr-BE"/>
              </w:rPr>
              <w:t>R</w:t>
            </w:r>
            <w:r w:rsidR="00EA1F73">
              <w:rPr>
                <w:sz w:val="18"/>
                <w:szCs w:val="24"/>
                <w:lang w:val="fr-BE"/>
              </w:rPr>
              <w:t>éférence aux</w:t>
            </w:r>
            <w:r w:rsidRPr="00E26790">
              <w:rPr>
                <w:sz w:val="18"/>
                <w:szCs w:val="24"/>
                <w:lang w:val="fr-BE"/>
              </w:rPr>
              <w:t xml:space="preserve"> fiches (6.1) e</w:t>
            </w:r>
            <w:r w:rsidR="00CF0C65" w:rsidRPr="00E26790">
              <w:rPr>
                <w:sz w:val="18"/>
                <w:szCs w:val="24"/>
                <w:lang w:val="fr-BE"/>
              </w:rPr>
              <w:t>t aux rapports d’analyse</w:t>
            </w:r>
            <w:r w:rsidRPr="00E26790">
              <w:rPr>
                <w:sz w:val="18"/>
                <w:szCs w:val="24"/>
                <w:lang w:val="fr-BE"/>
              </w:rPr>
              <w:t xml:space="preserve"> (7.3)</w:t>
            </w:r>
          </w:p>
        </w:tc>
      </w:tr>
      <w:tr w:rsidR="005F2BF7" w:rsidRPr="0010708A" w14:paraId="4C2F56EB" w14:textId="6EEB0C26" w:rsidTr="005F2BF7">
        <w:tc>
          <w:tcPr>
            <w:tcW w:w="966" w:type="dxa"/>
          </w:tcPr>
          <w:p w14:paraId="4C2F56E1" w14:textId="0DFB233C" w:rsidR="005F2BF7" w:rsidRPr="00E26790" w:rsidRDefault="00CF0C65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  <w:r w:rsidRPr="00E26790">
              <w:rPr>
                <w:sz w:val="18"/>
                <w:szCs w:val="24"/>
                <w:lang w:val="fr-BE"/>
              </w:rPr>
              <w:t>Bâtiment</w:t>
            </w:r>
          </w:p>
        </w:tc>
        <w:tc>
          <w:tcPr>
            <w:tcW w:w="1134" w:type="dxa"/>
          </w:tcPr>
          <w:p w14:paraId="4C2F56E2" w14:textId="2A2198A8" w:rsidR="005F2BF7" w:rsidRPr="00E26790" w:rsidRDefault="00CF0C65" w:rsidP="00CF0C65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  <w:r w:rsidRPr="00E26790">
              <w:rPr>
                <w:sz w:val="18"/>
                <w:szCs w:val="24"/>
                <w:lang w:val="fr-BE"/>
              </w:rPr>
              <w:t>Etage</w:t>
            </w:r>
          </w:p>
        </w:tc>
        <w:tc>
          <w:tcPr>
            <w:tcW w:w="851" w:type="dxa"/>
          </w:tcPr>
          <w:p w14:paraId="4C2F56E3" w14:textId="09535534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  <w:r w:rsidRPr="00E26790">
              <w:rPr>
                <w:sz w:val="18"/>
                <w:szCs w:val="24"/>
                <w:lang w:val="fr-BE"/>
              </w:rPr>
              <w:t>Lo</w:t>
            </w:r>
            <w:r w:rsidR="00CF0C65" w:rsidRPr="00E26790">
              <w:rPr>
                <w:sz w:val="18"/>
                <w:szCs w:val="24"/>
                <w:lang w:val="fr-BE"/>
              </w:rPr>
              <w:t>cal</w:t>
            </w:r>
          </w:p>
          <w:p w14:paraId="4C2F56E4" w14:textId="4007C3F7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  <w:r w:rsidRPr="00E26790">
              <w:rPr>
                <w:sz w:val="18"/>
                <w:szCs w:val="24"/>
                <w:lang w:val="fr-BE"/>
              </w:rPr>
              <w:t>/…</w:t>
            </w:r>
          </w:p>
        </w:tc>
        <w:tc>
          <w:tcPr>
            <w:tcW w:w="1057" w:type="dxa"/>
          </w:tcPr>
          <w:p w14:paraId="4C2F56E5" w14:textId="3F8592FF" w:rsidR="005F2BF7" w:rsidRPr="00E26790" w:rsidRDefault="005F2BF7" w:rsidP="00CF0C65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  <w:r w:rsidRPr="00E26790">
              <w:rPr>
                <w:sz w:val="18"/>
                <w:szCs w:val="24"/>
                <w:lang w:val="fr-BE"/>
              </w:rPr>
              <w:t>R</w:t>
            </w:r>
            <w:r w:rsidR="00CF0C65" w:rsidRPr="00E26790">
              <w:rPr>
                <w:sz w:val="18"/>
                <w:szCs w:val="24"/>
                <w:lang w:val="fr-BE"/>
              </w:rPr>
              <w:t>éférence aux plans/schémas</w:t>
            </w:r>
          </w:p>
        </w:tc>
        <w:tc>
          <w:tcPr>
            <w:tcW w:w="965" w:type="dxa"/>
            <w:vMerge/>
          </w:tcPr>
          <w:p w14:paraId="4C2F56E6" w14:textId="02652113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096" w:type="dxa"/>
            <w:vMerge/>
          </w:tcPr>
          <w:p w14:paraId="4C2F56E7" w14:textId="7CB2809C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993" w:type="dxa"/>
            <w:vMerge/>
          </w:tcPr>
          <w:p w14:paraId="4C2F56E8" w14:textId="66FCCF0B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417" w:type="dxa"/>
            <w:vMerge/>
          </w:tcPr>
          <w:p w14:paraId="4C2F56E9" w14:textId="0B9FB8D5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100" w:type="dxa"/>
            <w:vMerge/>
          </w:tcPr>
          <w:p w14:paraId="4C2F56EA" w14:textId="09828312" w:rsidR="005F2BF7" w:rsidRPr="00E26790" w:rsidRDefault="005F2BF7" w:rsidP="00057EEA">
            <w:pPr>
              <w:pStyle w:val="Lijstalinea"/>
              <w:ind w:left="0"/>
              <w:rPr>
                <w:sz w:val="18"/>
                <w:szCs w:val="24"/>
                <w:lang w:val="fr-BE"/>
              </w:rPr>
            </w:pPr>
          </w:p>
        </w:tc>
      </w:tr>
      <w:tr w:rsidR="005F2BF7" w:rsidRPr="0010708A" w14:paraId="4C2F56F5" w14:textId="3D1B32FE" w:rsidTr="005F2BF7">
        <w:tc>
          <w:tcPr>
            <w:tcW w:w="966" w:type="dxa"/>
          </w:tcPr>
          <w:p w14:paraId="4C2F56EC" w14:textId="4A3DFA00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134" w:type="dxa"/>
          </w:tcPr>
          <w:p w14:paraId="4C2F56ED" w14:textId="46ACB6EE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851" w:type="dxa"/>
          </w:tcPr>
          <w:p w14:paraId="4C2F56EE" w14:textId="6AF295A3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057" w:type="dxa"/>
          </w:tcPr>
          <w:p w14:paraId="4C2F56EF" w14:textId="77636B7F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965" w:type="dxa"/>
          </w:tcPr>
          <w:p w14:paraId="4C2F56F0" w14:textId="3C1FECE2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096" w:type="dxa"/>
          </w:tcPr>
          <w:p w14:paraId="4C2F56F1" w14:textId="2FCF7CC9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993" w:type="dxa"/>
          </w:tcPr>
          <w:p w14:paraId="4C2F56F2" w14:textId="45F2E6F6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417" w:type="dxa"/>
          </w:tcPr>
          <w:p w14:paraId="4C2F56F3" w14:textId="12935133" w:rsidR="005F2BF7" w:rsidRPr="00E26790" w:rsidRDefault="005F2BF7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100" w:type="dxa"/>
          </w:tcPr>
          <w:p w14:paraId="4C2F56F4" w14:textId="389EBF3C" w:rsidR="005F2BF7" w:rsidRPr="00E26790" w:rsidRDefault="005F2BF7" w:rsidP="00057EEA">
            <w:pPr>
              <w:pStyle w:val="Lijstalinea"/>
              <w:ind w:left="0"/>
              <w:rPr>
                <w:sz w:val="18"/>
                <w:szCs w:val="24"/>
                <w:lang w:val="fr-BE"/>
              </w:rPr>
            </w:pPr>
          </w:p>
        </w:tc>
      </w:tr>
      <w:tr w:rsidR="00015F42" w:rsidRPr="0010708A" w14:paraId="4C2F56FF" w14:textId="452FDCF9" w:rsidTr="005F2BF7">
        <w:tc>
          <w:tcPr>
            <w:tcW w:w="966" w:type="dxa"/>
          </w:tcPr>
          <w:p w14:paraId="4C2F56F6" w14:textId="57801E14" w:rsidR="00015F42" w:rsidRPr="00E26790" w:rsidRDefault="00015F42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134" w:type="dxa"/>
          </w:tcPr>
          <w:p w14:paraId="4C2F56F7" w14:textId="690EBD01" w:rsidR="00015F42" w:rsidRPr="00E26790" w:rsidRDefault="00015F42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851" w:type="dxa"/>
          </w:tcPr>
          <w:p w14:paraId="4C2F56F8" w14:textId="7575C419" w:rsidR="00015F42" w:rsidRPr="00E26790" w:rsidRDefault="00015F42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057" w:type="dxa"/>
          </w:tcPr>
          <w:p w14:paraId="4C2F56F9" w14:textId="41F0F322" w:rsidR="00015F42" w:rsidRPr="00E26790" w:rsidRDefault="00015F42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965" w:type="dxa"/>
          </w:tcPr>
          <w:p w14:paraId="4C2F56FA" w14:textId="53AC4986" w:rsidR="00015F42" w:rsidRPr="00E26790" w:rsidRDefault="00015F42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096" w:type="dxa"/>
          </w:tcPr>
          <w:p w14:paraId="4C2F56FB" w14:textId="138D8248" w:rsidR="00015F42" w:rsidRPr="00E26790" w:rsidRDefault="00015F42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993" w:type="dxa"/>
          </w:tcPr>
          <w:p w14:paraId="4C2F56FC" w14:textId="36CBCD83" w:rsidR="00015F42" w:rsidRPr="00E26790" w:rsidRDefault="00015F42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417" w:type="dxa"/>
          </w:tcPr>
          <w:p w14:paraId="4C2F56FD" w14:textId="4397EDC3" w:rsidR="00015F42" w:rsidRPr="00E26790" w:rsidRDefault="00015F42" w:rsidP="00057EEA">
            <w:pPr>
              <w:pStyle w:val="Lijstalinea"/>
              <w:ind w:left="0"/>
              <w:jc w:val="left"/>
              <w:rPr>
                <w:sz w:val="18"/>
                <w:szCs w:val="24"/>
                <w:lang w:val="fr-BE"/>
              </w:rPr>
            </w:pPr>
          </w:p>
        </w:tc>
        <w:tc>
          <w:tcPr>
            <w:tcW w:w="1100" w:type="dxa"/>
          </w:tcPr>
          <w:p w14:paraId="4C2F56FE" w14:textId="36891D25" w:rsidR="00015F42" w:rsidRPr="00E26790" w:rsidRDefault="00015F42" w:rsidP="00057EEA">
            <w:pPr>
              <w:pStyle w:val="Lijstalinea"/>
              <w:ind w:left="0"/>
              <w:rPr>
                <w:sz w:val="18"/>
                <w:szCs w:val="24"/>
                <w:lang w:val="fr-BE"/>
              </w:rPr>
            </w:pPr>
          </w:p>
        </w:tc>
      </w:tr>
    </w:tbl>
    <w:p w14:paraId="4C2F5700" w14:textId="583D0FB4" w:rsidR="00247855" w:rsidRDefault="00247855" w:rsidP="00057EEA">
      <w:pPr>
        <w:pStyle w:val="Lijstalinea"/>
        <w:ind w:left="1410"/>
        <w:rPr>
          <w:sz w:val="20"/>
          <w:szCs w:val="24"/>
          <w:lang w:val="fr-BE"/>
        </w:rPr>
      </w:pPr>
    </w:p>
    <w:p w14:paraId="0DDA3879" w14:textId="26126841" w:rsidR="001319D1" w:rsidRDefault="001319D1" w:rsidP="00057EEA">
      <w:pPr>
        <w:pStyle w:val="Lijstalinea"/>
        <w:ind w:left="1410"/>
        <w:rPr>
          <w:sz w:val="20"/>
          <w:szCs w:val="24"/>
          <w:lang w:val="fr-BE"/>
        </w:rPr>
      </w:pPr>
    </w:p>
    <w:p w14:paraId="2B3644B4" w14:textId="77777777" w:rsidR="00501A1A" w:rsidRPr="00E26790" w:rsidRDefault="00501A1A" w:rsidP="00057EEA">
      <w:pPr>
        <w:pStyle w:val="Lijstalinea"/>
        <w:ind w:left="1410"/>
        <w:rPr>
          <w:sz w:val="20"/>
          <w:szCs w:val="24"/>
          <w:lang w:val="fr-BE"/>
        </w:rPr>
      </w:pPr>
    </w:p>
    <w:p w14:paraId="4C2F5701" w14:textId="1732793E" w:rsidR="00C11D5B" w:rsidRPr="009F4F6C" w:rsidRDefault="00B267F0" w:rsidP="00A941AD">
      <w:pPr>
        <w:pStyle w:val="Lijstalinea"/>
        <w:numPr>
          <w:ilvl w:val="0"/>
          <w:numId w:val="27"/>
        </w:numPr>
        <w:rPr>
          <w:b/>
          <w:szCs w:val="24"/>
          <w:u w:val="single"/>
          <w:lang w:val="fr-BE"/>
        </w:rPr>
      </w:pPr>
      <w:r w:rsidRPr="009F4F6C">
        <w:rPr>
          <w:b/>
          <w:szCs w:val="24"/>
          <w:u w:val="single"/>
          <w:lang w:val="fr-BE"/>
        </w:rPr>
        <w:t>Annexes</w:t>
      </w:r>
    </w:p>
    <w:p w14:paraId="4C2F5702" w14:textId="06620E47" w:rsidR="00C11D5B" w:rsidRPr="009F4F6C" w:rsidRDefault="00C11D5B" w:rsidP="00C11D5B">
      <w:pPr>
        <w:pStyle w:val="Lijstalinea"/>
        <w:rPr>
          <w:szCs w:val="24"/>
          <w:lang w:val="fr-BE"/>
        </w:rPr>
      </w:pPr>
    </w:p>
    <w:p w14:paraId="4C2F5703" w14:textId="7571047B" w:rsidR="00247855" w:rsidRPr="009F4F6C" w:rsidRDefault="00B267F0" w:rsidP="00A941AD">
      <w:pPr>
        <w:pStyle w:val="Lijstalinea"/>
        <w:numPr>
          <w:ilvl w:val="1"/>
          <w:numId w:val="27"/>
        </w:numPr>
        <w:rPr>
          <w:szCs w:val="24"/>
          <w:lang w:val="fr-BE"/>
        </w:rPr>
      </w:pPr>
      <w:r w:rsidRPr="009F4F6C">
        <w:rPr>
          <w:szCs w:val="24"/>
          <w:lang w:val="fr-BE"/>
        </w:rPr>
        <w:t>Documents pour l’examen préliminaire</w:t>
      </w:r>
      <w:r w:rsidR="00247855" w:rsidRPr="009F4F6C">
        <w:rPr>
          <w:szCs w:val="24"/>
          <w:lang w:val="fr-BE"/>
        </w:rPr>
        <w:t>.</w:t>
      </w:r>
    </w:p>
    <w:p w14:paraId="4C2F5704" w14:textId="0BC5CBE3" w:rsidR="00247855" w:rsidRPr="009F4F6C" w:rsidRDefault="00247855" w:rsidP="00247855">
      <w:pPr>
        <w:pStyle w:val="Lijstalinea"/>
        <w:ind w:left="1410"/>
        <w:rPr>
          <w:szCs w:val="24"/>
          <w:lang w:val="fr-BE"/>
        </w:rPr>
      </w:pPr>
    </w:p>
    <w:p w14:paraId="4C2F5705" w14:textId="0D316726" w:rsidR="00247855" w:rsidRPr="009F4F6C" w:rsidRDefault="00247855" w:rsidP="00A941AD">
      <w:pPr>
        <w:pStyle w:val="Lijstalinea"/>
        <w:numPr>
          <w:ilvl w:val="1"/>
          <w:numId w:val="27"/>
        </w:numPr>
        <w:rPr>
          <w:szCs w:val="24"/>
          <w:lang w:val="fr-BE"/>
        </w:rPr>
      </w:pPr>
      <w:r w:rsidRPr="009F4F6C">
        <w:rPr>
          <w:szCs w:val="24"/>
          <w:lang w:val="fr-BE"/>
        </w:rPr>
        <w:t>Plan</w:t>
      </w:r>
      <w:r w:rsidR="00B267F0" w:rsidRPr="009F4F6C">
        <w:rPr>
          <w:szCs w:val="24"/>
          <w:lang w:val="fr-BE"/>
        </w:rPr>
        <w:t>s</w:t>
      </w:r>
      <w:r w:rsidRPr="009F4F6C">
        <w:rPr>
          <w:szCs w:val="24"/>
          <w:lang w:val="fr-BE"/>
        </w:rPr>
        <w:t>/sch</w:t>
      </w:r>
      <w:r w:rsidR="00B267F0" w:rsidRPr="009F4F6C">
        <w:rPr>
          <w:szCs w:val="24"/>
          <w:lang w:val="fr-BE"/>
        </w:rPr>
        <w:t>é</w:t>
      </w:r>
      <w:r w:rsidRPr="009F4F6C">
        <w:rPr>
          <w:szCs w:val="24"/>
          <w:lang w:val="fr-BE"/>
        </w:rPr>
        <w:t xml:space="preserve">mas </w:t>
      </w:r>
      <w:r w:rsidR="00B267F0" w:rsidRPr="009F4F6C">
        <w:rPr>
          <w:szCs w:val="24"/>
          <w:lang w:val="fr-BE"/>
        </w:rPr>
        <w:t xml:space="preserve">avec indication de l’emplacement de tous les matériaux suspects et de chaque lieu où un échantillon a été prélevé (aussi pour les échantillons dont il apparaît après analyse qu’ils ne contiennent pas d’amiante). L’indication doit se faire </w:t>
      </w:r>
      <w:r w:rsidR="00EA1F73" w:rsidRPr="009F4F6C">
        <w:rPr>
          <w:szCs w:val="24"/>
          <w:lang w:val="fr-BE"/>
        </w:rPr>
        <w:t>de façon à c</w:t>
      </w:r>
      <w:r w:rsidR="00B267F0" w:rsidRPr="009F4F6C">
        <w:rPr>
          <w:szCs w:val="24"/>
          <w:lang w:val="fr-BE"/>
        </w:rPr>
        <w:t xml:space="preserve">e que le lien avec la fiche correspondante et le tableau récapitulatif </w:t>
      </w:r>
      <w:r w:rsidR="00EA1F73" w:rsidRPr="009F4F6C">
        <w:rPr>
          <w:szCs w:val="24"/>
          <w:lang w:val="fr-BE"/>
        </w:rPr>
        <w:t>soit univoque</w:t>
      </w:r>
      <w:r w:rsidR="00B267F0" w:rsidRPr="009F4F6C">
        <w:rPr>
          <w:szCs w:val="24"/>
          <w:lang w:val="fr-BE"/>
        </w:rPr>
        <w:t>.</w:t>
      </w:r>
    </w:p>
    <w:p w14:paraId="4C2F5706" w14:textId="3B4ECEDB" w:rsidR="00247855" w:rsidRPr="009F4F6C" w:rsidRDefault="00247855" w:rsidP="00247855">
      <w:pPr>
        <w:rPr>
          <w:szCs w:val="24"/>
          <w:lang w:val="fr-BE"/>
        </w:rPr>
      </w:pPr>
    </w:p>
    <w:p w14:paraId="4C2F5707" w14:textId="770F7AAB" w:rsidR="00C11D5B" w:rsidRPr="009F4F6C" w:rsidRDefault="00B267F0" w:rsidP="00A941AD">
      <w:pPr>
        <w:pStyle w:val="Lijstalinea"/>
        <w:numPr>
          <w:ilvl w:val="1"/>
          <w:numId w:val="27"/>
        </w:numPr>
        <w:rPr>
          <w:szCs w:val="24"/>
          <w:lang w:val="fr-BE"/>
        </w:rPr>
      </w:pPr>
      <w:r w:rsidRPr="009F4F6C">
        <w:rPr>
          <w:szCs w:val="24"/>
          <w:lang w:val="fr-BE"/>
        </w:rPr>
        <w:t>Les rapports d’a</w:t>
      </w:r>
      <w:r w:rsidR="00247855" w:rsidRPr="009F4F6C">
        <w:rPr>
          <w:szCs w:val="24"/>
          <w:lang w:val="fr-BE"/>
        </w:rPr>
        <w:t>nalyse</w:t>
      </w:r>
      <w:r w:rsidRPr="009F4F6C">
        <w:rPr>
          <w:szCs w:val="24"/>
          <w:lang w:val="fr-BE"/>
        </w:rPr>
        <w:t xml:space="preserve"> des échantillons avec un lien </w:t>
      </w:r>
      <w:r w:rsidR="00B30A82" w:rsidRPr="009F4F6C">
        <w:rPr>
          <w:szCs w:val="24"/>
          <w:lang w:val="fr-BE"/>
        </w:rPr>
        <w:t>univoque</w:t>
      </w:r>
      <w:r w:rsidRPr="009F4F6C">
        <w:rPr>
          <w:szCs w:val="24"/>
          <w:lang w:val="fr-BE"/>
        </w:rPr>
        <w:t xml:space="preserve"> vers le tableau </w:t>
      </w:r>
      <w:r w:rsidR="00FA25FC" w:rsidRPr="009F4F6C">
        <w:rPr>
          <w:szCs w:val="24"/>
          <w:lang w:val="fr-BE"/>
        </w:rPr>
        <w:t>récapitulatif</w:t>
      </w:r>
      <w:r w:rsidRPr="009F4F6C">
        <w:rPr>
          <w:szCs w:val="24"/>
          <w:lang w:val="fr-BE"/>
        </w:rPr>
        <w:t xml:space="preserve"> et les fiches descriptives</w:t>
      </w:r>
      <w:r w:rsidR="00B30A82" w:rsidRPr="009F4F6C">
        <w:rPr>
          <w:szCs w:val="24"/>
          <w:lang w:val="fr-BE"/>
        </w:rPr>
        <w:t>.</w:t>
      </w:r>
    </w:p>
    <w:sectPr w:rsidR="00C11D5B" w:rsidRPr="009F4F6C" w:rsidSect="008A32D8">
      <w:headerReference w:type="even" r:id="rId8"/>
      <w:headerReference w:type="default" r:id="rId9"/>
      <w:pgSz w:w="11907" w:h="16840" w:code="9"/>
      <w:pgMar w:top="851" w:right="567" w:bottom="567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6122" w14:textId="77777777" w:rsidR="00971D92" w:rsidRDefault="00971D92">
      <w:r>
        <w:separator/>
      </w:r>
    </w:p>
  </w:endnote>
  <w:endnote w:type="continuationSeparator" w:id="0">
    <w:p w14:paraId="015E1921" w14:textId="77777777" w:rsidR="00971D92" w:rsidRDefault="0097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CF36" w14:textId="77777777" w:rsidR="00971D92" w:rsidRDefault="00971D92">
      <w:r>
        <w:separator/>
      </w:r>
    </w:p>
  </w:footnote>
  <w:footnote w:type="continuationSeparator" w:id="0">
    <w:p w14:paraId="7BF0A82B" w14:textId="77777777" w:rsidR="00971D92" w:rsidRDefault="00971D92">
      <w:r>
        <w:continuationSeparator/>
      </w:r>
    </w:p>
  </w:footnote>
  <w:footnote w:id="1">
    <w:p w14:paraId="4C2F5718" w14:textId="77777777" w:rsidR="003A0226" w:rsidRPr="00CB2C01" w:rsidRDefault="003A0226">
      <w:pPr>
        <w:pStyle w:val="Voetnoottekst"/>
        <w:rPr>
          <w:lang w:val="fr-BE"/>
        </w:rPr>
      </w:pPr>
      <w:r w:rsidRPr="002A35F6">
        <w:rPr>
          <w:rStyle w:val="Voetnootmarkering"/>
          <w:sz w:val="16"/>
        </w:rPr>
        <w:footnoteRef/>
      </w:r>
      <w:r w:rsidRPr="00CB2C01">
        <w:rPr>
          <w:sz w:val="16"/>
          <w:lang w:val="fr-BE"/>
        </w:rPr>
        <w:t xml:space="preserve"> Par </w:t>
      </w:r>
      <w:r>
        <w:rPr>
          <w:sz w:val="16"/>
          <w:lang w:val="fr-BE"/>
        </w:rPr>
        <w:t xml:space="preserve">« examen </w:t>
      </w:r>
      <w:r w:rsidRPr="00CB2C01">
        <w:rPr>
          <w:sz w:val="16"/>
          <w:lang w:val="fr-BE"/>
        </w:rPr>
        <w:t>destructif</w:t>
      </w:r>
      <w:r>
        <w:rPr>
          <w:sz w:val="16"/>
          <w:lang w:val="fr-BE"/>
        </w:rPr>
        <w:t> »</w:t>
      </w:r>
      <w:r w:rsidRPr="00CB2C01">
        <w:rPr>
          <w:sz w:val="16"/>
          <w:lang w:val="fr-BE"/>
        </w:rPr>
        <w:t xml:space="preserve">, on entend: examen de la présence de matériau contenant de l’amiante, en utilisant pour ce faire du matériel lourd, l’intégrité architecturale de l’ouvrage pouvant </w:t>
      </w:r>
      <w:r>
        <w:rPr>
          <w:sz w:val="16"/>
          <w:lang w:val="fr-BE"/>
        </w:rPr>
        <w:t>être touchée</w:t>
      </w:r>
      <w:r w:rsidRPr="00CB2C01">
        <w:rPr>
          <w:sz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5713" w14:textId="77777777" w:rsidR="003A0226" w:rsidRDefault="003A0226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2F5714" w14:textId="77777777" w:rsidR="003A0226" w:rsidRDefault="003A02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5715" w14:textId="4653A937" w:rsidR="003A0226" w:rsidRDefault="003A0226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17EDF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4C2F5716" w14:textId="77777777" w:rsidR="003A0226" w:rsidRDefault="003A0226" w:rsidP="008A32D8">
    <w:pPr>
      <w:pStyle w:val="Koptekst"/>
    </w:pPr>
  </w:p>
  <w:p w14:paraId="5E9D3579" w14:textId="77777777" w:rsidR="003A0226" w:rsidRDefault="003A0226" w:rsidP="008A32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0A4"/>
    <w:multiLevelType w:val="hybridMultilevel"/>
    <w:tmpl w:val="DEA629C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54F"/>
    <w:multiLevelType w:val="multilevel"/>
    <w:tmpl w:val="D0FAB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5422B43"/>
    <w:multiLevelType w:val="hybridMultilevel"/>
    <w:tmpl w:val="AFEA452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DFA"/>
    <w:multiLevelType w:val="hybridMultilevel"/>
    <w:tmpl w:val="C43EF3F4"/>
    <w:lvl w:ilvl="0" w:tplc="B6B6E954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8771140"/>
    <w:multiLevelType w:val="hybridMultilevel"/>
    <w:tmpl w:val="BF1C0ECE"/>
    <w:lvl w:ilvl="0" w:tplc="71F8A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6D55"/>
    <w:multiLevelType w:val="multilevel"/>
    <w:tmpl w:val="E26C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A436A82"/>
    <w:multiLevelType w:val="hybridMultilevel"/>
    <w:tmpl w:val="5E9E697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2E26"/>
    <w:multiLevelType w:val="hybridMultilevel"/>
    <w:tmpl w:val="6344AC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60D3"/>
    <w:multiLevelType w:val="hybridMultilevel"/>
    <w:tmpl w:val="BFE2B5C6"/>
    <w:lvl w:ilvl="0" w:tplc="30EAF4A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72476"/>
    <w:multiLevelType w:val="hybridMultilevel"/>
    <w:tmpl w:val="C20E42DE"/>
    <w:lvl w:ilvl="0" w:tplc="39586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019EC"/>
    <w:multiLevelType w:val="hybridMultilevel"/>
    <w:tmpl w:val="BF1C0ECE"/>
    <w:lvl w:ilvl="0" w:tplc="71F8A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0F01"/>
    <w:multiLevelType w:val="hybridMultilevel"/>
    <w:tmpl w:val="A7FA9D7C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7C7EAC"/>
    <w:multiLevelType w:val="hybridMultilevel"/>
    <w:tmpl w:val="06F08778"/>
    <w:lvl w:ilvl="0" w:tplc="08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2682"/>
    <w:multiLevelType w:val="hybridMultilevel"/>
    <w:tmpl w:val="844A9FE4"/>
    <w:lvl w:ilvl="0" w:tplc="F02A2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C2BEC"/>
    <w:multiLevelType w:val="hybridMultilevel"/>
    <w:tmpl w:val="84702A1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FB4BDD"/>
    <w:multiLevelType w:val="hybridMultilevel"/>
    <w:tmpl w:val="31A60B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E458C"/>
    <w:multiLevelType w:val="hybridMultilevel"/>
    <w:tmpl w:val="AE8223EE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9F0A1F"/>
    <w:multiLevelType w:val="multilevel"/>
    <w:tmpl w:val="56D6E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2C32CB8"/>
    <w:multiLevelType w:val="hybridMultilevel"/>
    <w:tmpl w:val="9C70F9BE"/>
    <w:lvl w:ilvl="0" w:tplc="85C6669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53380"/>
    <w:multiLevelType w:val="hybridMultilevel"/>
    <w:tmpl w:val="C33673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E5E2E"/>
    <w:multiLevelType w:val="hybridMultilevel"/>
    <w:tmpl w:val="9926A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2AD2"/>
    <w:multiLevelType w:val="hybridMultilevel"/>
    <w:tmpl w:val="FF6ECFAA"/>
    <w:lvl w:ilvl="0" w:tplc="CDDCF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D213B"/>
    <w:multiLevelType w:val="multilevel"/>
    <w:tmpl w:val="56D6E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ECA19BB"/>
    <w:multiLevelType w:val="hybridMultilevel"/>
    <w:tmpl w:val="7CBA4B88"/>
    <w:lvl w:ilvl="0" w:tplc="2CAAD5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C93BB8"/>
    <w:multiLevelType w:val="hybridMultilevel"/>
    <w:tmpl w:val="4DD8D73E"/>
    <w:lvl w:ilvl="0" w:tplc="A986282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7D57301"/>
    <w:multiLevelType w:val="hybridMultilevel"/>
    <w:tmpl w:val="4BAA28D6"/>
    <w:lvl w:ilvl="0" w:tplc="B4A48F4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F7C04D7"/>
    <w:multiLevelType w:val="hybridMultilevel"/>
    <w:tmpl w:val="A7142CA2"/>
    <w:lvl w:ilvl="0" w:tplc="1908A69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7"/>
  </w:num>
  <w:num w:numId="5">
    <w:abstractNumId w:val="20"/>
  </w:num>
  <w:num w:numId="6">
    <w:abstractNumId w:val="22"/>
  </w:num>
  <w:num w:numId="7">
    <w:abstractNumId w:val="16"/>
  </w:num>
  <w:num w:numId="8">
    <w:abstractNumId w:val="6"/>
  </w:num>
  <w:num w:numId="9">
    <w:abstractNumId w:val="0"/>
  </w:num>
  <w:num w:numId="10">
    <w:abstractNumId w:val="15"/>
  </w:num>
  <w:num w:numId="11">
    <w:abstractNumId w:val="23"/>
  </w:num>
  <w:num w:numId="12">
    <w:abstractNumId w:val="9"/>
  </w:num>
  <w:num w:numId="13">
    <w:abstractNumId w:val="19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21"/>
  </w:num>
  <w:num w:numId="19">
    <w:abstractNumId w:val="24"/>
  </w:num>
  <w:num w:numId="20">
    <w:abstractNumId w:val="8"/>
  </w:num>
  <w:num w:numId="21">
    <w:abstractNumId w:val="18"/>
  </w:num>
  <w:num w:numId="22">
    <w:abstractNumId w:val="12"/>
  </w:num>
  <w:num w:numId="23">
    <w:abstractNumId w:val="14"/>
  </w:num>
  <w:num w:numId="24">
    <w:abstractNumId w:val="26"/>
  </w:num>
  <w:num w:numId="25">
    <w:abstractNumId w:val="11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79"/>
    <w:rsid w:val="00002013"/>
    <w:rsid w:val="000042F9"/>
    <w:rsid w:val="000046F9"/>
    <w:rsid w:val="00005660"/>
    <w:rsid w:val="0000743B"/>
    <w:rsid w:val="00010FF7"/>
    <w:rsid w:val="000124C8"/>
    <w:rsid w:val="00015F42"/>
    <w:rsid w:val="00017259"/>
    <w:rsid w:val="000224D4"/>
    <w:rsid w:val="00024797"/>
    <w:rsid w:val="00025346"/>
    <w:rsid w:val="000274D0"/>
    <w:rsid w:val="00027BB3"/>
    <w:rsid w:val="0003004F"/>
    <w:rsid w:val="00030196"/>
    <w:rsid w:val="000309A2"/>
    <w:rsid w:val="00033628"/>
    <w:rsid w:val="0003480C"/>
    <w:rsid w:val="000366AE"/>
    <w:rsid w:val="00041416"/>
    <w:rsid w:val="00043DC2"/>
    <w:rsid w:val="00044B44"/>
    <w:rsid w:val="00047A26"/>
    <w:rsid w:val="0005134A"/>
    <w:rsid w:val="00051720"/>
    <w:rsid w:val="0005198E"/>
    <w:rsid w:val="00054A93"/>
    <w:rsid w:val="00054E5B"/>
    <w:rsid w:val="00057EEA"/>
    <w:rsid w:val="00061A58"/>
    <w:rsid w:val="00061E3F"/>
    <w:rsid w:val="00062A7F"/>
    <w:rsid w:val="0006525A"/>
    <w:rsid w:val="00066F12"/>
    <w:rsid w:val="00080CBE"/>
    <w:rsid w:val="00083C73"/>
    <w:rsid w:val="00083C84"/>
    <w:rsid w:val="000908EF"/>
    <w:rsid w:val="00090B68"/>
    <w:rsid w:val="00090C21"/>
    <w:rsid w:val="00090EC7"/>
    <w:rsid w:val="000916AE"/>
    <w:rsid w:val="00092D5C"/>
    <w:rsid w:val="00097794"/>
    <w:rsid w:val="00097DF2"/>
    <w:rsid w:val="000A28DF"/>
    <w:rsid w:val="000A3BAE"/>
    <w:rsid w:val="000A41E7"/>
    <w:rsid w:val="000B259A"/>
    <w:rsid w:val="000B3677"/>
    <w:rsid w:val="000B6466"/>
    <w:rsid w:val="000B7AA8"/>
    <w:rsid w:val="000C1E6E"/>
    <w:rsid w:val="000C34AA"/>
    <w:rsid w:val="000C6AC2"/>
    <w:rsid w:val="000C7BA3"/>
    <w:rsid w:val="000D02F6"/>
    <w:rsid w:val="000D54C1"/>
    <w:rsid w:val="000D56A0"/>
    <w:rsid w:val="000D5C57"/>
    <w:rsid w:val="000D740B"/>
    <w:rsid w:val="000E277E"/>
    <w:rsid w:val="000E767A"/>
    <w:rsid w:val="000E7831"/>
    <w:rsid w:val="000F10D5"/>
    <w:rsid w:val="000F1579"/>
    <w:rsid w:val="000F2F6E"/>
    <w:rsid w:val="000F33C3"/>
    <w:rsid w:val="000F34CA"/>
    <w:rsid w:val="00100947"/>
    <w:rsid w:val="00100E2C"/>
    <w:rsid w:val="0010708A"/>
    <w:rsid w:val="00110D51"/>
    <w:rsid w:val="00111900"/>
    <w:rsid w:val="00112268"/>
    <w:rsid w:val="0011393E"/>
    <w:rsid w:val="001178D3"/>
    <w:rsid w:val="00121406"/>
    <w:rsid w:val="001225D4"/>
    <w:rsid w:val="001228FA"/>
    <w:rsid w:val="00122F7D"/>
    <w:rsid w:val="00125330"/>
    <w:rsid w:val="001259D5"/>
    <w:rsid w:val="001272BE"/>
    <w:rsid w:val="00130619"/>
    <w:rsid w:val="0013117F"/>
    <w:rsid w:val="001319D1"/>
    <w:rsid w:val="001344BF"/>
    <w:rsid w:val="00136842"/>
    <w:rsid w:val="00136C1D"/>
    <w:rsid w:val="00136D65"/>
    <w:rsid w:val="00137044"/>
    <w:rsid w:val="00145325"/>
    <w:rsid w:val="00146E55"/>
    <w:rsid w:val="00150015"/>
    <w:rsid w:val="001508DF"/>
    <w:rsid w:val="00151391"/>
    <w:rsid w:val="00152454"/>
    <w:rsid w:val="0015446C"/>
    <w:rsid w:val="001547D0"/>
    <w:rsid w:val="00155121"/>
    <w:rsid w:val="001612C1"/>
    <w:rsid w:val="001626FB"/>
    <w:rsid w:val="00164BF2"/>
    <w:rsid w:val="00164EA7"/>
    <w:rsid w:val="00167FDA"/>
    <w:rsid w:val="00170204"/>
    <w:rsid w:val="001707F0"/>
    <w:rsid w:val="001718A7"/>
    <w:rsid w:val="001738EE"/>
    <w:rsid w:val="00175C37"/>
    <w:rsid w:val="00181B2C"/>
    <w:rsid w:val="00184296"/>
    <w:rsid w:val="00187444"/>
    <w:rsid w:val="00191565"/>
    <w:rsid w:val="00192EF7"/>
    <w:rsid w:val="001933CE"/>
    <w:rsid w:val="0019349F"/>
    <w:rsid w:val="00195CC3"/>
    <w:rsid w:val="0019620F"/>
    <w:rsid w:val="00196307"/>
    <w:rsid w:val="001A1218"/>
    <w:rsid w:val="001A37E6"/>
    <w:rsid w:val="001A532F"/>
    <w:rsid w:val="001A675B"/>
    <w:rsid w:val="001B0044"/>
    <w:rsid w:val="001B149C"/>
    <w:rsid w:val="001C11A0"/>
    <w:rsid w:val="001C27C6"/>
    <w:rsid w:val="001C5A58"/>
    <w:rsid w:val="001C5B39"/>
    <w:rsid w:val="001C5C70"/>
    <w:rsid w:val="001D0277"/>
    <w:rsid w:val="001D2EA1"/>
    <w:rsid w:val="001D4E73"/>
    <w:rsid w:val="001D77E2"/>
    <w:rsid w:val="001E05FA"/>
    <w:rsid w:val="001E0DCE"/>
    <w:rsid w:val="001E24F2"/>
    <w:rsid w:val="001E56AE"/>
    <w:rsid w:val="001E5EAB"/>
    <w:rsid w:val="001F18F6"/>
    <w:rsid w:val="001F3342"/>
    <w:rsid w:val="00204C36"/>
    <w:rsid w:val="00210609"/>
    <w:rsid w:val="00210DEE"/>
    <w:rsid w:val="0021194B"/>
    <w:rsid w:val="00216304"/>
    <w:rsid w:val="00216368"/>
    <w:rsid w:val="002176E2"/>
    <w:rsid w:val="00222197"/>
    <w:rsid w:val="002224EE"/>
    <w:rsid w:val="00222B63"/>
    <w:rsid w:val="002261A0"/>
    <w:rsid w:val="002261CD"/>
    <w:rsid w:val="00226FEC"/>
    <w:rsid w:val="002325AF"/>
    <w:rsid w:val="00232903"/>
    <w:rsid w:val="00233B30"/>
    <w:rsid w:val="00233CEC"/>
    <w:rsid w:val="00236B2E"/>
    <w:rsid w:val="002372FC"/>
    <w:rsid w:val="00243FE8"/>
    <w:rsid w:val="0024464C"/>
    <w:rsid w:val="00247855"/>
    <w:rsid w:val="00247E9E"/>
    <w:rsid w:val="00250CC2"/>
    <w:rsid w:val="00251F4E"/>
    <w:rsid w:val="002539D1"/>
    <w:rsid w:val="00253F0A"/>
    <w:rsid w:val="00254BB4"/>
    <w:rsid w:val="00255B7F"/>
    <w:rsid w:val="00255FA1"/>
    <w:rsid w:val="00257E21"/>
    <w:rsid w:val="00257FED"/>
    <w:rsid w:val="002653A5"/>
    <w:rsid w:val="00267826"/>
    <w:rsid w:val="002701B1"/>
    <w:rsid w:val="0027192B"/>
    <w:rsid w:val="002722C6"/>
    <w:rsid w:val="00273218"/>
    <w:rsid w:val="00273AA5"/>
    <w:rsid w:val="00274759"/>
    <w:rsid w:val="0027578B"/>
    <w:rsid w:val="002759C6"/>
    <w:rsid w:val="00280434"/>
    <w:rsid w:val="00281F50"/>
    <w:rsid w:val="0028219B"/>
    <w:rsid w:val="00285BC8"/>
    <w:rsid w:val="00291292"/>
    <w:rsid w:val="00295A97"/>
    <w:rsid w:val="002971D4"/>
    <w:rsid w:val="00297A73"/>
    <w:rsid w:val="002A0010"/>
    <w:rsid w:val="002A1E6A"/>
    <w:rsid w:val="002A35F6"/>
    <w:rsid w:val="002A43F4"/>
    <w:rsid w:val="002A553C"/>
    <w:rsid w:val="002B22CA"/>
    <w:rsid w:val="002B2C2E"/>
    <w:rsid w:val="002B3D86"/>
    <w:rsid w:val="002B407A"/>
    <w:rsid w:val="002C1FDB"/>
    <w:rsid w:val="002C66A6"/>
    <w:rsid w:val="002D057C"/>
    <w:rsid w:val="002D0E3C"/>
    <w:rsid w:val="002D35FF"/>
    <w:rsid w:val="002D49B8"/>
    <w:rsid w:val="002D53C0"/>
    <w:rsid w:val="002D79A7"/>
    <w:rsid w:val="002E116E"/>
    <w:rsid w:val="002E4AB6"/>
    <w:rsid w:val="002E5173"/>
    <w:rsid w:val="002E52F3"/>
    <w:rsid w:val="002E7CBA"/>
    <w:rsid w:val="002F063A"/>
    <w:rsid w:val="002F2643"/>
    <w:rsid w:val="002F2A51"/>
    <w:rsid w:val="002F4ECF"/>
    <w:rsid w:val="002F5485"/>
    <w:rsid w:val="00304181"/>
    <w:rsid w:val="0030571D"/>
    <w:rsid w:val="00310C71"/>
    <w:rsid w:val="00311157"/>
    <w:rsid w:val="00323ECC"/>
    <w:rsid w:val="0032485E"/>
    <w:rsid w:val="003319AE"/>
    <w:rsid w:val="00332C6A"/>
    <w:rsid w:val="003347B1"/>
    <w:rsid w:val="003406C7"/>
    <w:rsid w:val="00343641"/>
    <w:rsid w:val="0034409B"/>
    <w:rsid w:val="00344271"/>
    <w:rsid w:val="00345751"/>
    <w:rsid w:val="003554C6"/>
    <w:rsid w:val="00355753"/>
    <w:rsid w:val="0035740B"/>
    <w:rsid w:val="00361C1C"/>
    <w:rsid w:val="003645CB"/>
    <w:rsid w:val="00365FCC"/>
    <w:rsid w:val="00367D28"/>
    <w:rsid w:val="003700F0"/>
    <w:rsid w:val="00372219"/>
    <w:rsid w:val="00373043"/>
    <w:rsid w:val="00375729"/>
    <w:rsid w:val="003762D3"/>
    <w:rsid w:val="00377E6D"/>
    <w:rsid w:val="00380B75"/>
    <w:rsid w:val="00382B0F"/>
    <w:rsid w:val="00383603"/>
    <w:rsid w:val="0039149F"/>
    <w:rsid w:val="00391DC8"/>
    <w:rsid w:val="0039255B"/>
    <w:rsid w:val="00394A2D"/>
    <w:rsid w:val="00395171"/>
    <w:rsid w:val="003A0226"/>
    <w:rsid w:val="003A1C4A"/>
    <w:rsid w:val="003A3D2B"/>
    <w:rsid w:val="003A40FB"/>
    <w:rsid w:val="003A4BC4"/>
    <w:rsid w:val="003B6C3D"/>
    <w:rsid w:val="003C0669"/>
    <w:rsid w:val="003C1A16"/>
    <w:rsid w:val="003C22BF"/>
    <w:rsid w:val="003C662B"/>
    <w:rsid w:val="003C6FEE"/>
    <w:rsid w:val="003D2EE4"/>
    <w:rsid w:val="003D3BE8"/>
    <w:rsid w:val="003D4A3B"/>
    <w:rsid w:val="003D5C0E"/>
    <w:rsid w:val="003D756C"/>
    <w:rsid w:val="003D78DB"/>
    <w:rsid w:val="003E3AC0"/>
    <w:rsid w:val="003E3D83"/>
    <w:rsid w:val="003E730E"/>
    <w:rsid w:val="003E7F49"/>
    <w:rsid w:val="003F043D"/>
    <w:rsid w:val="003F10AF"/>
    <w:rsid w:val="003F2E0B"/>
    <w:rsid w:val="003F335F"/>
    <w:rsid w:val="003F49FD"/>
    <w:rsid w:val="003F6418"/>
    <w:rsid w:val="00400AF7"/>
    <w:rsid w:val="00403B29"/>
    <w:rsid w:val="00404BE7"/>
    <w:rsid w:val="00410B48"/>
    <w:rsid w:val="00411560"/>
    <w:rsid w:val="0041465B"/>
    <w:rsid w:val="004147DC"/>
    <w:rsid w:val="00414C99"/>
    <w:rsid w:val="00415BBE"/>
    <w:rsid w:val="00416B78"/>
    <w:rsid w:val="0041784C"/>
    <w:rsid w:val="004200E6"/>
    <w:rsid w:val="00421B56"/>
    <w:rsid w:val="004240FB"/>
    <w:rsid w:val="004266FD"/>
    <w:rsid w:val="00427100"/>
    <w:rsid w:val="00427853"/>
    <w:rsid w:val="00427D2F"/>
    <w:rsid w:val="00430AE0"/>
    <w:rsid w:val="004329DF"/>
    <w:rsid w:val="00433551"/>
    <w:rsid w:val="00433A64"/>
    <w:rsid w:val="004346F7"/>
    <w:rsid w:val="0043788F"/>
    <w:rsid w:val="0044025C"/>
    <w:rsid w:val="00441443"/>
    <w:rsid w:val="00442C9F"/>
    <w:rsid w:val="00443AC8"/>
    <w:rsid w:val="00445026"/>
    <w:rsid w:val="004460E1"/>
    <w:rsid w:val="00446102"/>
    <w:rsid w:val="0044688F"/>
    <w:rsid w:val="0045029C"/>
    <w:rsid w:val="004509A9"/>
    <w:rsid w:val="0045161D"/>
    <w:rsid w:val="0045454E"/>
    <w:rsid w:val="004554E7"/>
    <w:rsid w:val="0045774B"/>
    <w:rsid w:val="0046075C"/>
    <w:rsid w:val="0046419E"/>
    <w:rsid w:val="00464605"/>
    <w:rsid w:val="00464C62"/>
    <w:rsid w:val="004669C5"/>
    <w:rsid w:val="004721B1"/>
    <w:rsid w:val="004746BA"/>
    <w:rsid w:val="004747C3"/>
    <w:rsid w:val="00474D2E"/>
    <w:rsid w:val="0047747B"/>
    <w:rsid w:val="004775DB"/>
    <w:rsid w:val="00480632"/>
    <w:rsid w:val="0048234A"/>
    <w:rsid w:val="0048519E"/>
    <w:rsid w:val="00485CBD"/>
    <w:rsid w:val="004911E1"/>
    <w:rsid w:val="0049450D"/>
    <w:rsid w:val="00494FEB"/>
    <w:rsid w:val="004957C6"/>
    <w:rsid w:val="004A10E8"/>
    <w:rsid w:val="004A2BC7"/>
    <w:rsid w:val="004A410E"/>
    <w:rsid w:val="004A57BE"/>
    <w:rsid w:val="004B088A"/>
    <w:rsid w:val="004B1A41"/>
    <w:rsid w:val="004C014C"/>
    <w:rsid w:val="004C08D4"/>
    <w:rsid w:val="004C0D6C"/>
    <w:rsid w:val="004C3A71"/>
    <w:rsid w:val="004D0058"/>
    <w:rsid w:val="004D04FD"/>
    <w:rsid w:val="004D2709"/>
    <w:rsid w:val="004D5536"/>
    <w:rsid w:val="004D75BF"/>
    <w:rsid w:val="004E36B2"/>
    <w:rsid w:val="004E3EF6"/>
    <w:rsid w:val="004E7076"/>
    <w:rsid w:val="004F1A39"/>
    <w:rsid w:val="004F2353"/>
    <w:rsid w:val="004F4F9D"/>
    <w:rsid w:val="004F7E32"/>
    <w:rsid w:val="005011A6"/>
    <w:rsid w:val="00501A1A"/>
    <w:rsid w:val="00505237"/>
    <w:rsid w:val="005111F8"/>
    <w:rsid w:val="00512CA0"/>
    <w:rsid w:val="00514552"/>
    <w:rsid w:val="00514F38"/>
    <w:rsid w:val="00516B61"/>
    <w:rsid w:val="00517EDF"/>
    <w:rsid w:val="00521579"/>
    <w:rsid w:val="00521F42"/>
    <w:rsid w:val="00532BC9"/>
    <w:rsid w:val="005331A1"/>
    <w:rsid w:val="005348F1"/>
    <w:rsid w:val="00535272"/>
    <w:rsid w:val="0053573A"/>
    <w:rsid w:val="00536E98"/>
    <w:rsid w:val="005377BA"/>
    <w:rsid w:val="005379F7"/>
    <w:rsid w:val="005409BE"/>
    <w:rsid w:val="00541AE0"/>
    <w:rsid w:val="00542D74"/>
    <w:rsid w:val="00543ADC"/>
    <w:rsid w:val="00544678"/>
    <w:rsid w:val="00545D3F"/>
    <w:rsid w:val="00551E1D"/>
    <w:rsid w:val="005531B7"/>
    <w:rsid w:val="0055408E"/>
    <w:rsid w:val="005664CA"/>
    <w:rsid w:val="00570B5F"/>
    <w:rsid w:val="0057314F"/>
    <w:rsid w:val="00574712"/>
    <w:rsid w:val="00574EB2"/>
    <w:rsid w:val="00576611"/>
    <w:rsid w:val="00576CF0"/>
    <w:rsid w:val="005772AA"/>
    <w:rsid w:val="00577F5C"/>
    <w:rsid w:val="005872CD"/>
    <w:rsid w:val="005931A9"/>
    <w:rsid w:val="0059556A"/>
    <w:rsid w:val="00595B2B"/>
    <w:rsid w:val="00596E49"/>
    <w:rsid w:val="00597203"/>
    <w:rsid w:val="00597783"/>
    <w:rsid w:val="005A075A"/>
    <w:rsid w:val="005A185C"/>
    <w:rsid w:val="005A5A6C"/>
    <w:rsid w:val="005B0C6E"/>
    <w:rsid w:val="005B1779"/>
    <w:rsid w:val="005C000F"/>
    <w:rsid w:val="005C0BD4"/>
    <w:rsid w:val="005C2B31"/>
    <w:rsid w:val="005C3B8A"/>
    <w:rsid w:val="005C4CD9"/>
    <w:rsid w:val="005C54B0"/>
    <w:rsid w:val="005C67B4"/>
    <w:rsid w:val="005C6EE6"/>
    <w:rsid w:val="005C6F57"/>
    <w:rsid w:val="005C76E1"/>
    <w:rsid w:val="005D096C"/>
    <w:rsid w:val="005D1309"/>
    <w:rsid w:val="005E195C"/>
    <w:rsid w:val="005E68F9"/>
    <w:rsid w:val="005F2BF7"/>
    <w:rsid w:val="005F6D2C"/>
    <w:rsid w:val="005F6E72"/>
    <w:rsid w:val="005F72B9"/>
    <w:rsid w:val="005F7E15"/>
    <w:rsid w:val="00600A1F"/>
    <w:rsid w:val="00603990"/>
    <w:rsid w:val="00604438"/>
    <w:rsid w:val="006057EC"/>
    <w:rsid w:val="00606869"/>
    <w:rsid w:val="00607BD4"/>
    <w:rsid w:val="00610374"/>
    <w:rsid w:val="00610E32"/>
    <w:rsid w:val="006113B3"/>
    <w:rsid w:val="006127C9"/>
    <w:rsid w:val="006144D9"/>
    <w:rsid w:val="00617AE9"/>
    <w:rsid w:val="006255D4"/>
    <w:rsid w:val="006272B2"/>
    <w:rsid w:val="00630DA9"/>
    <w:rsid w:val="00631987"/>
    <w:rsid w:val="00636552"/>
    <w:rsid w:val="006366DA"/>
    <w:rsid w:val="00640098"/>
    <w:rsid w:val="006412E6"/>
    <w:rsid w:val="00643479"/>
    <w:rsid w:val="00643F1F"/>
    <w:rsid w:val="0064443A"/>
    <w:rsid w:val="00651B39"/>
    <w:rsid w:val="0065571E"/>
    <w:rsid w:val="006576C0"/>
    <w:rsid w:val="00657862"/>
    <w:rsid w:val="00662162"/>
    <w:rsid w:val="0066697C"/>
    <w:rsid w:val="006674D3"/>
    <w:rsid w:val="00670D36"/>
    <w:rsid w:val="00671D06"/>
    <w:rsid w:val="00672305"/>
    <w:rsid w:val="00680316"/>
    <w:rsid w:val="00680BDC"/>
    <w:rsid w:val="00683208"/>
    <w:rsid w:val="00683C5E"/>
    <w:rsid w:val="0068710F"/>
    <w:rsid w:val="00693207"/>
    <w:rsid w:val="006943C2"/>
    <w:rsid w:val="006A1ACB"/>
    <w:rsid w:val="006A20A1"/>
    <w:rsid w:val="006A5989"/>
    <w:rsid w:val="006A7DB7"/>
    <w:rsid w:val="006B6C51"/>
    <w:rsid w:val="006C16C8"/>
    <w:rsid w:val="006C288E"/>
    <w:rsid w:val="006C33C8"/>
    <w:rsid w:val="006C3749"/>
    <w:rsid w:val="006D0EB8"/>
    <w:rsid w:val="006D168A"/>
    <w:rsid w:val="006D27A3"/>
    <w:rsid w:val="006D3741"/>
    <w:rsid w:val="006D3DC6"/>
    <w:rsid w:val="006D46D5"/>
    <w:rsid w:val="006E0F9F"/>
    <w:rsid w:val="006E19FC"/>
    <w:rsid w:val="006E234A"/>
    <w:rsid w:val="006E4B15"/>
    <w:rsid w:val="006E6253"/>
    <w:rsid w:val="006E665E"/>
    <w:rsid w:val="006F0307"/>
    <w:rsid w:val="006F08C4"/>
    <w:rsid w:val="006F1A91"/>
    <w:rsid w:val="006F2B3A"/>
    <w:rsid w:val="006F5850"/>
    <w:rsid w:val="006F5D0F"/>
    <w:rsid w:val="00700530"/>
    <w:rsid w:val="00702EC5"/>
    <w:rsid w:val="007037B8"/>
    <w:rsid w:val="0070571F"/>
    <w:rsid w:val="007076A8"/>
    <w:rsid w:val="00710F9D"/>
    <w:rsid w:val="00714C92"/>
    <w:rsid w:val="0071602B"/>
    <w:rsid w:val="007224DE"/>
    <w:rsid w:val="00724D9A"/>
    <w:rsid w:val="00726F45"/>
    <w:rsid w:val="00727C3C"/>
    <w:rsid w:val="00730047"/>
    <w:rsid w:val="00732130"/>
    <w:rsid w:val="0073363E"/>
    <w:rsid w:val="00733736"/>
    <w:rsid w:val="00736320"/>
    <w:rsid w:val="00736FBE"/>
    <w:rsid w:val="00737CD2"/>
    <w:rsid w:val="00740190"/>
    <w:rsid w:val="00752ADE"/>
    <w:rsid w:val="00753A99"/>
    <w:rsid w:val="00754CDC"/>
    <w:rsid w:val="00757BAE"/>
    <w:rsid w:val="00761359"/>
    <w:rsid w:val="0076137B"/>
    <w:rsid w:val="00763944"/>
    <w:rsid w:val="007654BD"/>
    <w:rsid w:val="00766571"/>
    <w:rsid w:val="007667C5"/>
    <w:rsid w:val="00773D90"/>
    <w:rsid w:val="007743B3"/>
    <w:rsid w:val="007763EF"/>
    <w:rsid w:val="007766A8"/>
    <w:rsid w:val="00780C31"/>
    <w:rsid w:val="00781161"/>
    <w:rsid w:val="00784FE5"/>
    <w:rsid w:val="00786A7F"/>
    <w:rsid w:val="00790811"/>
    <w:rsid w:val="00790B74"/>
    <w:rsid w:val="00790E58"/>
    <w:rsid w:val="0079182B"/>
    <w:rsid w:val="007A434F"/>
    <w:rsid w:val="007A60E6"/>
    <w:rsid w:val="007B7544"/>
    <w:rsid w:val="007C01A4"/>
    <w:rsid w:val="007C09C9"/>
    <w:rsid w:val="007C1114"/>
    <w:rsid w:val="007D03C9"/>
    <w:rsid w:val="007D11D2"/>
    <w:rsid w:val="007D3629"/>
    <w:rsid w:val="007D3CAB"/>
    <w:rsid w:val="007D439C"/>
    <w:rsid w:val="007D7080"/>
    <w:rsid w:val="007E1FB0"/>
    <w:rsid w:val="007E2FB7"/>
    <w:rsid w:val="007E4C1B"/>
    <w:rsid w:val="007E6A43"/>
    <w:rsid w:val="007E6C87"/>
    <w:rsid w:val="007E71A1"/>
    <w:rsid w:val="007E7DA2"/>
    <w:rsid w:val="007F10FD"/>
    <w:rsid w:val="007F2317"/>
    <w:rsid w:val="007F67BD"/>
    <w:rsid w:val="007F778F"/>
    <w:rsid w:val="00800A24"/>
    <w:rsid w:val="008030BF"/>
    <w:rsid w:val="008061EF"/>
    <w:rsid w:val="008105AC"/>
    <w:rsid w:val="00811732"/>
    <w:rsid w:val="008139D6"/>
    <w:rsid w:val="008168D3"/>
    <w:rsid w:val="00817B01"/>
    <w:rsid w:val="0082147B"/>
    <w:rsid w:val="008230C7"/>
    <w:rsid w:val="008238E7"/>
    <w:rsid w:val="008252A7"/>
    <w:rsid w:val="008254C3"/>
    <w:rsid w:val="0082755A"/>
    <w:rsid w:val="00832392"/>
    <w:rsid w:val="00833730"/>
    <w:rsid w:val="00834363"/>
    <w:rsid w:val="008346A1"/>
    <w:rsid w:val="008374BB"/>
    <w:rsid w:val="008401C8"/>
    <w:rsid w:val="00840345"/>
    <w:rsid w:val="00840854"/>
    <w:rsid w:val="00841A31"/>
    <w:rsid w:val="00841F8A"/>
    <w:rsid w:val="00844353"/>
    <w:rsid w:val="008501E2"/>
    <w:rsid w:val="00851B5F"/>
    <w:rsid w:val="00852C62"/>
    <w:rsid w:val="008535EB"/>
    <w:rsid w:val="00864348"/>
    <w:rsid w:val="00864B7A"/>
    <w:rsid w:val="00866557"/>
    <w:rsid w:val="00866782"/>
    <w:rsid w:val="00866B5C"/>
    <w:rsid w:val="008672DF"/>
    <w:rsid w:val="00870B28"/>
    <w:rsid w:val="00874B77"/>
    <w:rsid w:val="0088181B"/>
    <w:rsid w:val="008827BD"/>
    <w:rsid w:val="00883E62"/>
    <w:rsid w:val="00884C1F"/>
    <w:rsid w:val="00884CBB"/>
    <w:rsid w:val="00885B97"/>
    <w:rsid w:val="0089015A"/>
    <w:rsid w:val="008928DA"/>
    <w:rsid w:val="00892E2E"/>
    <w:rsid w:val="00896958"/>
    <w:rsid w:val="008A15C6"/>
    <w:rsid w:val="008A29A7"/>
    <w:rsid w:val="008A32D8"/>
    <w:rsid w:val="008A364A"/>
    <w:rsid w:val="008A42C7"/>
    <w:rsid w:val="008A516C"/>
    <w:rsid w:val="008A772A"/>
    <w:rsid w:val="008B4693"/>
    <w:rsid w:val="008B7C0D"/>
    <w:rsid w:val="008C3032"/>
    <w:rsid w:val="008C4938"/>
    <w:rsid w:val="008C5954"/>
    <w:rsid w:val="008C70AA"/>
    <w:rsid w:val="008C77A8"/>
    <w:rsid w:val="008C78E2"/>
    <w:rsid w:val="008C7A23"/>
    <w:rsid w:val="008D02C7"/>
    <w:rsid w:val="008D325D"/>
    <w:rsid w:val="008D3A3B"/>
    <w:rsid w:val="008D4C88"/>
    <w:rsid w:val="008D60FA"/>
    <w:rsid w:val="008D6604"/>
    <w:rsid w:val="008E3ACD"/>
    <w:rsid w:val="008E4C22"/>
    <w:rsid w:val="008E7DF9"/>
    <w:rsid w:val="008F4C28"/>
    <w:rsid w:val="008F72AB"/>
    <w:rsid w:val="008F7843"/>
    <w:rsid w:val="009002C1"/>
    <w:rsid w:val="00904BCB"/>
    <w:rsid w:val="00907348"/>
    <w:rsid w:val="00916020"/>
    <w:rsid w:val="00921DF9"/>
    <w:rsid w:val="009243EB"/>
    <w:rsid w:val="009247F5"/>
    <w:rsid w:val="00924B60"/>
    <w:rsid w:val="00930240"/>
    <w:rsid w:val="00930EC2"/>
    <w:rsid w:val="00934A5B"/>
    <w:rsid w:val="00934BE6"/>
    <w:rsid w:val="00935F71"/>
    <w:rsid w:val="00936171"/>
    <w:rsid w:val="00936242"/>
    <w:rsid w:val="00940EE0"/>
    <w:rsid w:val="0094353D"/>
    <w:rsid w:val="00943CD8"/>
    <w:rsid w:val="00947CDF"/>
    <w:rsid w:val="009509B7"/>
    <w:rsid w:val="00950B31"/>
    <w:rsid w:val="00950CA7"/>
    <w:rsid w:val="00953308"/>
    <w:rsid w:val="00953F87"/>
    <w:rsid w:val="009555FC"/>
    <w:rsid w:val="00956CCA"/>
    <w:rsid w:val="0096170B"/>
    <w:rsid w:val="00962096"/>
    <w:rsid w:val="00964FB3"/>
    <w:rsid w:val="00965D3E"/>
    <w:rsid w:val="00966A65"/>
    <w:rsid w:val="0096786F"/>
    <w:rsid w:val="00967E2A"/>
    <w:rsid w:val="00970BD5"/>
    <w:rsid w:val="00970C1F"/>
    <w:rsid w:val="00970E83"/>
    <w:rsid w:val="00971D92"/>
    <w:rsid w:val="00972396"/>
    <w:rsid w:val="0097438E"/>
    <w:rsid w:val="00976946"/>
    <w:rsid w:val="0098015E"/>
    <w:rsid w:val="00980D54"/>
    <w:rsid w:val="00981F85"/>
    <w:rsid w:val="0098272D"/>
    <w:rsid w:val="00982FC2"/>
    <w:rsid w:val="00984153"/>
    <w:rsid w:val="00986312"/>
    <w:rsid w:val="00987A56"/>
    <w:rsid w:val="00992258"/>
    <w:rsid w:val="00992269"/>
    <w:rsid w:val="009936E1"/>
    <w:rsid w:val="009938A1"/>
    <w:rsid w:val="00996B8E"/>
    <w:rsid w:val="00996FF4"/>
    <w:rsid w:val="00997C8F"/>
    <w:rsid w:val="009A1862"/>
    <w:rsid w:val="009B0C09"/>
    <w:rsid w:val="009B7A03"/>
    <w:rsid w:val="009C04DB"/>
    <w:rsid w:val="009C1FEA"/>
    <w:rsid w:val="009C385E"/>
    <w:rsid w:val="009C4FEB"/>
    <w:rsid w:val="009C50D8"/>
    <w:rsid w:val="009C58E8"/>
    <w:rsid w:val="009D18D0"/>
    <w:rsid w:val="009D2547"/>
    <w:rsid w:val="009D258A"/>
    <w:rsid w:val="009D25BA"/>
    <w:rsid w:val="009D3124"/>
    <w:rsid w:val="009D4648"/>
    <w:rsid w:val="009D6A41"/>
    <w:rsid w:val="009D6DF7"/>
    <w:rsid w:val="009E0800"/>
    <w:rsid w:val="009E0C76"/>
    <w:rsid w:val="009E4CEC"/>
    <w:rsid w:val="009E5B99"/>
    <w:rsid w:val="009E5EE6"/>
    <w:rsid w:val="009F0052"/>
    <w:rsid w:val="009F03A8"/>
    <w:rsid w:val="009F4F6C"/>
    <w:rsid w:val="009F4FBF"/>
    <w:rsid w:val="009F5E35"/>
    <w:rsid w:val="009F6149"/>
    <w:rsid w:val="009F66AD"/>
    <w:rsid w:val="009F6C75"/>
    <w:rsid w:val="009F76FB"/>
    <w:rsid w:val="00A00B55"/>
    <w:rsid w:val="00A01305"/>
    <w:rsid w:val="00A0267F"/>
    <w:rsid w:val="00A04AD3"/>
    <w:rsid w:val="00A05479"/>
    <w:rsid w:val="00A127EB"/>
    <w:rsid w:val="00A12CA8"/>
    <w:rsid w:val="00A14EDA"/>
    <w:rsid w:val="00A16A6C"/>
    <w:rsid w:val="00A16FF1"/>
    <w:rsid w:val="00A300B7"/>
    <w:rsid w:val="00A30FC8"/>
    <w:rsid w:val="00A33519"/>
    <w:rsid w:val="00A3676C"/>
    <w:rsid w:val="00A37AB4"/>
    <w:rsid w:val="00A44417"/>
    <w:rsid w:val="00A453FA"/>
    <w:rsid w:val="00A4621D"/>
    <w:rsid w:val="00A46648"/>
    <w:rsid w:val="00A5155C"/>
    <w:rsid w:val="00A53215"/>
    <w:rsid w:val="00A53DCD"/>
    <w:rsid w:val="00A547E7"/>
    <w:rsid w:val="00A5607B"/>
    <w:rsid w:val="00A56597"/>
    <w:rsid w:val="00A61657"/>
    <w:rsid w:val="00A61DB4"/>
    <w:rsid w:val="00A719E8"/>
    <w:rsid w:val="00A71AE5"/>
    <w:rsid w:val="00A7695A"/>
    <w:rsid w:val="00A8111C"/>
    <w:rsid w:val="00A83E5F"/>
    <w:rsid w:val="00A840AB"/>
    <w:rsid w:val="00A855BE"/>
    <w:rsid w:val="00A861E3"/>
    <w:rsid w:val="00A868E6"/>
    <w:rsid w:val="00A90963"/>
    <w:rsid w:val="00A941AD"/>
    <w:rsid w:val="00A97CAC"/>
    <w:rsid w:val="00A97CBB"/>
    <w:rsid w:val="00AA1048"/>
    <w:rsid w:val="00AA2F4D"/>
    <w:rsid w:val="00AA3769"/>
    <w:rsid w:val="00AA3C4C"/>
    <w:rsid w:val="00AA4AB4"/>
    <w:rsid w:val="00AA5B6E"/>
    <w:rsid w:val="00AA5E19"/>
    <w:rsid w:val="00AB17F3"/>
    <w:rsid w:val="00AB64C1"/>
    <w:rsid w:val="00AB666B"/>
    <w:rsid w:val="00AB773B"/>
    <w:rsid w:val="00AB774E"/>
    <w:rsid w:val="00AC2E60"/>
    <w:rsid w:val="00AC4582"/>
    <w:rsid w:val="00AC61ED"/>
    <w:rsid w:val="00AD0952"/>
    <w:rsid w:val="00AD0C1F"/>
    <w:rsid w:val="00AD723B"/>
    <w:rsid w:val="00AE16E6"/>
    <w:rsid w:val="00AE19ED"/>
    <w:rsid w:val="00AE2FD1"/>
    <w:rsid w:val="00AF1210"/>
    <w:rsid w:val="00AF26AD"/>
    <w:rsid w:val="00B00EDF"/>
    <w:rsid w:val="00B06194"/>
    <w:rsid w:val="00B1342A"/>
    <w:rsid w:val="00B14266"/>
    <w:rsid w:val="00B146EE"/>
    <w:rsid w:val="00B15052"/>
    <w:rsid w:val="00B1771C"/>
    <w:rsid w:val="00B17B7E"/>
    <w:rsid w:val="00B20196"/>
    <w:rsid w:val="00B214E3"/>
    <w:rsid w:val="00B21EFB"/>
    <w:rsid w:val="00B221B1"/>
    <w:rsid w:val="00B22B36"/>
    <w:rsid w:val="00B23FA8"/>
    <w:rsid w:val="00B267F0"/>
    <w:rsid w:val="00B27431"/>
    <w:rsid w:val="00B27C6B"/>
    <w:rsid w:val="00B30A82"/>
    <w:rsid w:val="00B354B4"/>
    <w:rsid w:val="00B36157"/>
    <w:rsid w:val="00B37200"/>
    <w:rsid w:val="00B37548"/>
    <w:rsid w:val="00B407D1"/>
    <w:rsid w:val="00B417B9"/>
    <w:rsid w:val="00B44BFE"/>
    <w:rsid w:val="00B44F45"/>
    <w:rsid w:val="00B467EA"/>
    <w:rsid w:val="00B50729"/>
    <w:rsid w:val="00B5180A"/>
    <w:rsid w:val="00B51F6F"/>
    <w:rsid w:val="00B5308E"/>
    <w:rsid w:val="00B56E38"/>
    <w:rsid w:val="00B57A77"/>
    <w:rsid w:val="00B613DD"/>
    <w:rsid w:val="00B62EDC"/>
    <w:rsid w:val="00B63FA0"/>
    <w:rsid w:val="00B64C0B"/>
    <w:rsid w:val="00B67BC0"/>
    <w:rsid w:val="00B67F4B"/>
    <w:rsid w:val="00B74A18"/>
    <w:rsid w:val="00B7582E"/>
    <w:rsid w:val="00B75F78"/>
    <w:rsid w:val="00B77586"/>
    <w:rsid w:val="00B8000B"/>
    <w:rsid w:val="00B817A5"/>
    <w:rsid w:val="00B84507"/>
    <w:rsid w:val="00B8520E"/>
    <w:rsid w:val="00B853E0"/>
    <w:rsid w:val="00B85EA8"/>
    <w:rsid w:val="00B87945"/>
    <w:rsid w:val="00B92684"/>
    <w:rsid w:val="00B946F8"/>
    <w:rsid w:val="00B96F6F"/>
    <w:rsid w:val="00B973CE"/>
    <w:rsid w:val="00B97B09"/>
    <w:rsid w:val="00BA6AC0"/>
    <w:rsid w:val="00BB6440"/>
    <w:rsid w:val="00BC05BE"/>
    <w:rsid w:val="00BC0F28"/>
    <w:rsid w:val="00BC0FFF"/>
    <w:rsid w:val="00BC2312"/>
    <w:rsid w:val="00BC5043"/>
    <w:rsid w:val="00BC6E09"/>
    <w:rsid w:val="00BD06AA"/>
    <w:rsid w:val="00BD077F"/>
    <w:rsid w:val="00BD5FAC"/>
    <w:rsid w:val="00BE0747"/>
    <w:rsid w:val="00BF1B6C"/>
    <w:rsid w:val="00BF2C9C"/>
    <w:rsid w:val="00BF36CD"/>
    <w:rsid w:val="00BF417B"/>
    <w:rsid w:val="00C04787"/>
    <w:rsid w:val="00C05887"/>
    <w:rsid w:val="00C06291"/>
    <w:rsid w:val="00C062BA"/>
    <w:rsid w:val="00C10212"/>
    <w:rsid w:val="00C1049B"/>
    <w:rsid w:val="00C10A82"/>
    <w:rsid w:val="00C11A9F"/>
    <w:rsid w:val="00C11D5B"/>
    <w:rsid w:val="00C13635"/>
    <w:rsid w:val="00C17324"/>
    <w:rsid w:val="00C20F3B"/>
    <w:rsid w:val="00C22A03"/>
    <w:rsid w:val="00C238FE"/>
    <w:rsid w:val="00C242A0"/>
    <w:rsid w:val="00C251B7"/>
    <w:rsid w:val="00C303E3"/>
    <w:rsid w:val="00C31171"/>
    <w:rsid w:val="00C31333"/>
    <w:rsid w:val="00C3273E"/>
    <w:rsid w:val="00C345F7"/>
    <w:rsid w:val="00C37726"/>
    <w:rsid w:val="00C4035E"/>
    <w:rsid w:val="00C40AF0"/>
    <w:rsid w:val="00C41092"/>
    <w:rsid w:val="00C46BED"/>
    <w:rsid w:val="00C4794C"/>
    <w:rsid w:val="00C50F46"/>
    <w:rsid w:val="00C51714"/>
    <w:rsid w:val="00C51E75"/>
    <w:rsid w:val="00C558A9"/>
    <w:rsid w:val="00C62007"/>
    <w:rsid w:val="00C63B33"/>
    <w:rsid w:val="00C648E7"/>
    <w:rsid w:val="00C66B4E"/>
    <w:rsid w:val="00C71422"/>
    <w:rsid w:val="00C71642"/>
    <w:rsid w:val="00C71F0F"/>
    <w:rsid w:val="00C72C2C"/>
    <w:rsid w:val="00C73989"/>
    <w:rsid w:val="00C73CB1"/>
    <w:rsid w:val="00C74325"/>
    <w:rsid w:val="00C7450E"/>
    <w:rsid w:val="00C764C8"/>
    <w:rsid w:val="00C84D58"/>
    <w:rsid w:val="00C85366"/>
    <w:rsid w:val="00C86B72"/>
    <w:rsid w:val="00C900DA"/>
    <w:rsid w:val="00C90D83"/>
    <w:rsid w:val="00C94D73"/>
    <w:rsid w:val="00C94F4A"/>
    <w:rsid w:val="00C952B9"/>
    <w:rsid w:val="00C96BBE"/>
    <w:rsid w:val="00C972FF"/>
    <w:rsid w:val="00CA1653"/>
    <w:rsid w:val="00CA1A0A"/>
    <w:rsid w:val="00CA6F50"/>
    <w:rsid w:val="00CB0626"/>
    <w:rsid w:val="00CB08B8"/>
    <w:rsid w:val="00CB0F0F"/>
    <w:rsid w:val="00CB1525"/>
    <w:rsid w:val="00CB28D1"/>
    <w:rsid w:val="00CB2B37"/>
    <w:rsid w:val="00CB2C01"/>
    <w:rsid w:val="00CB2C04"/>
    <w:rsid w:val="00CB3996"/>
    <w:rsid w:val="00CB4A8C"/>
    <w:rsid w:val="00CB51E7"/>
    <w:rsid w:val="00CC00F4"/>
    <w:rsid w:val="00CC1ADC"/>
    <w:rsid w:val="00CC1FF0"/>
    <w:rsid w:val="00CC356D"/>
    <w:rsid w:val="00CC6A42"/>
    <w:rsid w:val="00CC7CED"/>
    <w:rsid w:val="00CD04B0"/>
    <w:rsid w:val="00CD6A90"/>
    <w:rsid w:val="00CD7484"/>
    <w:rsid w:val="00CE2A81"/>
    <w:rsid w:val="00CE73BB"/>
    <w:rsid w:val="00CF003B"/>
    <w:rsid w:val="00CF09CC"/>
    <w:rsid w:val="00CF0C65"/>
    <w:rsid w:val="00CF2A5F"/>
    <w:rsid w:val="00D013E9"/>
    <w:rsid w:val="00D04210"/>
    <w:rsid w:val="00D04C2D"/>
    <w:rsid w:val="00D05776"/>
    <w:rsid w:val="00D05B42"/>
    <w:rsid w:val="00D11FC5"/>
    <w:rsid w:val="00D13934"/>
    <w:rsid w:val="00D16D45"/>
    <w:rsid w:val="00D20581"/>
    <w:rsid w:val="00D20A68"/>
    <w:rsid w:val="00D23B5C"/>
    <w:rsid w:val="00D23CCB"/>
    <w:rsid w:val="00D244EA"/>
    <w:rsid w:val="00D24AFF"/>
    <w:rsid w:val="00D26314"/>
    <w:rsid w:val="00D26401"/>
    <w:rsid w:val="00D27B61"/>
    <w:rsid w:val="00D30A43"/>
    <w:rsid w:val="00D30F87"/>
    <w:rsid w:val="00D348E3"/>
    <w:rsid w:val="00D3603E"/>
    <w:rsid w:val="00D377BC"/>
    <w:rsid w:val="00D37AB3"/>
    <w:rsid w:val="00D42B34"/>
    <w:rsid w:val="00D43560"/>
    <w:rsid w:val="00D4488B"/>
    <w:rsid w:val="00D46344"/>
    <w:rsid w:val="00D47BD1"/>
    <w:rsid w:val="00D5048C"/>
    <w:rsid w:val="00D521CA"/>
    <w:rsid w:val="00D524B4"/>
    <w:rsid w:val="00D5336F"/>
    <w:rsid w:val="00D6198E"/>
    <w:rsid w:val="00D62912"/>
    <w:rsid w:val="00D63AE4"/>
    <w:rsid w:val="00D648C8"/>
    <w:rsid w:val="00D64EE8"/>
    <w:rsid w:val="00D66E6C"/>
    <w:rsid w:val="00D67F8A"/>
    <w:rsid w:val="00D706AA"/>
    <w:rsid w:val="00D7120B"/>
    <w:rsid w:val="00D72434"/>
    <w:rsid w:val="00D74FA6"/>
    <w:rsid w:val="00D81D24"/>
    <w:rsid w:val="00D83B1E"/>
    <w:rsid w:val="00D85B49"/>
    <w:rsid w:val="00D905DC"/>
    <w:rsid w:val="00D91340"/>
    <w:rsid w:val="00D92EB2"/>
    <w:rsid w:val="00D95381"/>
    <w:rsid w:val="00D96485"/>
    <w:rsid w:val="00D964BA"/>
    <w:rsid w:val="00DA0177"/>
    <w:rsid w:val="00DA035C"/>
    <w:rsid w:val="00DA15BB"/>
    <w:rsid w:val="00DA35F3"/>
    <w:rsid w:val="00DA6C6C"/>
    <w:rsid w:val="00DB15A0"/>
    <w:rsid w:val="00DB37EB"/>
    <w:rsid w:val="00DB4040"/>
    <w:rsid w:val="00DB6992"/>
    <w:rsid w:val="00DC2E4F"/>
    <w:rsid w:val="00DC4433"/>
    <w:rsid w:val="00DC4B03"/>
    <w:rsid w:val="00DC4E0B"/>
    <w:rsid w:val="00DC4F19"/>
    <w:rsid w:val="00DC5C25"/>
    <w:rsid w:val="00DC6D91"/>
    <w:rsid w:val="00DC6E5A"/>
    <w:rsid w:val="00DD1184"/>
    <w:rsid w:val="00DD35CA"/>
    <w:rsid w:val="00DD75C5"/>
    <w:rsid w:val="00DE2868"/>
    <w:rsid w:val="00DE3C4B"/>
    <w:rsid w:val="00DE4CCD"/>
    <w:rsid w:val="00DE60C7"/>
    <w:rsid w:val="00DE65B5"/>
    <w:rsid w:val="00DF0DFF"/>
    <w:rsid w:val="00DF2110"/>
    <w:rsid w:val="00DF2189"/>
    <w:rsid w:val="00DF22D6"/>
    <w:rsid w:val="00DF2F93"/>
    <w:rsid w:val="00DF3136"/>
    <w:rsid w:val="00DF728A"/>
    <w:rsid w:val="00DF7C85"/>
    <w:rsid w:val="00E03C7D"/>
    <w:rsid w:val="00E076EE"/>
    <w:rsid w:val="00E10F2C"/>
    <w:rsid w:val="00E13027"/>
    <w:rsid w:val="00E13098"/>
    <w:rsid w:val="00E132CC"/>
    <w:rsid w:val="00E16765"/>
    <w:rsid w:val="00E212E2"/>
    <w:rsid w:val="00E2236F"/>
    <w:rsid w:val="00E22A39"/>
    <w:rsid w:val="00E25EBE"/>
    <w:rsid w:val="00E26790"/>
    <w:rsid w:val="00E304E2"/>
    <w:rsid w:val="00E348D9"/>
    <w:rsid w:val="00E34AE2"/>
    <w:rsid w:val="00E35B57"/>
    <w:rsid w:val="00E365A2"/>
    <w:rsid w:val="00E40711"/>
    <w:rsid w:val="00E43A6E"/>
    <w:rsid w:val="00E512EF"/>
    <w:rsid w:val="00E54D7C"/>
    <w:rsid w:val="00E56422"/>
    <w:rsid w:val="00E57638"/>
    <w:rsid w:val="00E57857"/>
    <w:rsid w:val="00E579B1"/>
    <w:rsid w:val="00E606E2"/>
    <w:rsid w:val="00E62497"/>
    <w:rsid w:val="00E628DD"/>
    <w:rsid w:val="00E63093"/>
    <w:rsid w:val="00E66EB1"/>
    <w:rsid w:val="00E67331"/>
    <w:rsid w:val="00E7120A"/>
    <w:rsid w:val="00E725BF"/>
    <w:rsid w:val="00E762FF"/>
    <w:rsid w:val="00E76847"/>
    <w:rsid w:val="00E77A7F"/>
    <w:rsid w:val="00E81FDF"/>
    <w:rsid w:val="00E85860"/>
    <w:rsid w:val="00E85B1D"/>
    <w:rsid w:val="00E8715D"/>
    <w:rsid w:val="00E9025C"/>
    <w:rsid w:val="00E92740"/>
    <w:rsid w:val="00E93DE3"/>
    <w:rsid w:val="00E952BF"/>
    <w:rsid w:val="00E95E8B"/>
    <w:rsid w:val="00E969C0"/>
    <w:rsid w:val="00E977F8"/>
    <w:rsid w:val="00EA0EC8"/>
    <w:rsid w:val="00EA1F73"/>
    <w:rsid w:val="00EA51EB"/>
    <w:rsid w:val="00EA63EA"/>
    <w:rsid w:val="00EA6B2F"/>
    <w:rsid w:val="00EB0766"/>
    <w:rsid w:val="00EB082A"/>
    <w:rsid w:val="00EB48DE"/>
    <w:rsid w:val="00EB694A"/>
    <w:rsid w:val="00EC0E66"/>
    <w:rsid w:val="00EC14A2"/>
    <w:rsid w:val="00EC1DE5"/>
    <w:rsid w:val="00EC23AE"/>
    <w:rsid w:val="00EC4AED"/>
    <w:rsid w:val="00EC7159"/>
    <w:rsid w:val="00ED40CC"/>
    <w:rsid w:val="00ED42C0"/>
    <w:rsid w:val="00ED498F"/>
    <w:rsid w:val="00ED5EF9"/>
    <w:rsid w:val="00ED79CB"/>
    <w:rsid w:val="00EE3586"/>
    <w:rsid w:val="00EF2D5C"/>
    <w:rsid w:val="00EF48B9"/>
    <w:rsid w:val="00EF586A"/>
    <w:rsid w:val="00F01F58"/>
    <w:rsid w:val="00F029A8"/>
    <w:rsid w:val="00F0766F"/>
    <w:rsid w:val="00F11D1D"/>
    <w:rsid w:val="00F128F3"/>
    <w:rsid w:val="00F13645"/>
    <w:rsid w:val="00F20F9D"/>
    <w:rsid w:val="00F222F8"/>
    <w:rsid w:val="00F24180"/>
    <w:rsid w:val="00F24430"/>
    <w:rsid w:val="00F244B6"/>
    <w:rsid w:val="00F24B3E"/>
    <w:rsid w:val="00F31496"/>
    <w:rsid w:val="00F3161E"/>
    <w:rsid w:val="00F32AF8"/>
    <w:rsid w:val="00F34F8D"/>
    <w:rsid w:val="00F350AC"/>
    <w:rsid w:val="00F402CB"/>
    <w:rsid w:val="00F408B8"/>
    <w:rsid w:val="00F46029"/>
    <w:rsid w:val="00F46EB2"/>
    <w:rsid w:val="00F47AA3"/>
    <w:rsid w:val="00F53334"/>
    <w:rsid w:val="00F53704"/>
    <w:rsid w:val="00F53B84"/>
    <w:rsid w:val="00F55E18"/>
    <w:rsid w:val="00F60C9E"/>
    <w:rsid w:val="00F64521"/>
    <w:rsid w:val="00F662DB"/>
    <w:rsid w:val="00F667C3"/>
    <w:rsid w:val="00F6689B"/>
    <w:rsid w:val="00F714A9"/>
    <w:rsid w:val="00F762F5"/>
    <w:rsid w:val="00F7685D"/>
    <w:rsid w:val="00F81701"/>
    <w:rsid w:val="00F82EA6"/>
    <w:rsid w:val="00F932B0"/>
    <w:rsid w:val="00F93B4C"/>
    <w:rsid w:val="00F94402"/>
    <w:rsid w:val="00F95AB2"/>
    <w:rsid w:val="00FA055C"/>
    <w:rsid w:val="00FA25FC"/>
    <w:rsid w:val="00FA3EF5"/>
    <w:rsid w:val="00FA4E68"/>
    <w:rsid w:val="00FA531F"/>
    <w:rsid w:val="00FA5E90"/>
    <w:rsid w:val="00FB07BB"/>
    <w:rsid w:val="00FB1509"/>
    <w:rsid w:val="00FB398D"/>
    <w:rsid w:val="00FB4105"/>
    <w:rsid w:val="00FB41DA"/>
    <w:rsid w:val="00FB58A6"/>
    <w:rsid w:val="00FB5D36"/>
    <w:rsid w:val="00FB6F58"/>
    <w:rsid w:val="00FB6F6A"/>
    <w:rsid w:val="00FB7673"/>
    <w:rsid w:val="00FC0313"/>
    <w:rsid w:val="00FC2D3D"/>
    <w:rsid w:val="00FC3D56"/>
    <w:rsid w:val="00FD060D"/>
    <w:rsid w:val="00FD2169"/>
    <w:rsid w:val="00FD3A20"/>
    <w:rsid w:val="00FD3D58"/>
    <w:rsid w:val="00FD502A"/>
    <w:rsid w:val="00FD58E1"/>
    <w:rsid w:val="00FD65CF"/>
    <w:rsid w:val="00FE1288"/>
    <w:rsid w:val="00FE1E0C"/>
    <w:rsid w:val="00FE42AE"/>
    <w:rsid w:val="00FE66F7"/>
    <w:rsid w:val="00FE6C10"/>
    <w:rsid w:val="00FF0314"/>
    <w:rsid w:val="00FF329E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F53DD"/>
  <w15:docId w15:val="{F2DD25AD-3DC0-4280-B8A2-1D5C8BDB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jc w:val="both"/>
    </w:pPr>
    <w:rPr>
      <w:rFonts w:ascii="Times New Roman" w:hAnsi="Times New Roman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1508DF"/>
    <w:pPr>
      <w:keepNext/>
      <w:spacing w:line="240" w:lineRule="exact"/>
      <w:jc w:val="center"/>
      <w:outlineLvl w:val="0"/>
    </w:pPr>
    <w:rPr>
      <w:b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spacing w:after="120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semiHidden/>
    <w:rPr>
      <w:rFonts w:ascii="Times New Roman" w:hAnsi="Times New Roman"/>
      <w:sz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sz w:val="20"/>
    </w:rPr>
  </w:style>
  <w:style w:type="paragraph" w:styleId="Lijstalinea">
    <w:name w:val="List Paragraph"/>
    <w:basedOn w:val="Standaard"/>
    <w:uiPriority w:val="34"/>
    <w:qFormat/>
    <w:rsid w:val="00B221B1"/>
    <w:pPr>
      <w:ind w:left="720"/>
      <w:contextualSpacing/>
    </w:pPr>
  </w:style>
  <w:style w:type="paragraph" w:customStyle="1" w:styleId="Default">
    <w:name w:val="Default"/>
    <w:rsid w:val="003E7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table" w:styleId="Tabelraster">
    <w:name w:val="Table Grid"/>
    <w:basedOn w:val="Standaardtabel"/>
    <w:uiPriority w:val="59"/>
    <w:rsid w:val="00C1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nhideWhenUsed/>
    <w:rsid w:val="00FB41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B41DA"/>
    <w:rPr>
      <w:rFonts w:ascii="Tahoma" w:hAnsi="Tahoma" w:cs="Tahoma"/>
      <w:sz w:val="16"/>
      <w:szCs w:val="16"/>
      <w:lang w:val="nl"/>
    </w:rPr>
  </w:style>
  <w:style w:type="character" w:styleId="Verwijzingopmerking">
    <w:name w:val="annotation reference"/>
    <w:uiPriority w:val="99"/>
    <w:semiHidden/>
    <w:unhideWhenUsed/>
    <w:rsid w:val="00FB41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B41DA"/>
    <w:rPr>
      <w:sz w:val="20"/>
    </w:rPr>
  </w:style>
  <w:style w:type="character" w:customStyle="1" w:styleId="TekstopmerkingChar">
    <w:name w:val="Tekst opmerking Char"/>
    <w:link w:val="Tekstopmerking"/>
    <w:uiPriority w:val="99"/>
    <w:rsid w:val="00FB41DA"/>
    <w:rPr>
      <w:rFonts w:ascii="Times New Roman" w:hAnsi="Times New Roman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41D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B41DA"/>
    <w:rPr>
      <w:rFonts w:ascii="Times New Roman" w:hAnsi="Times New Roman"/>
      <w:b/>
      <w:bCs/>
      <w:lang w:val="nl"/>
    </w:rPr>
  </w:style>
  <w:style w:type="paragraph" w:customStyle="1" w:styleId="CM1">
    <w:name w:val="CM1"/>
    <w:basedOn w:val="Default"/>
    <w:next w:val="Default"/>
    <w:uiPriority w:val="99"/>
    <w:rsid w:val="001E05F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1E05FA"/>
    <w:rPr>
      <w:rFonts w:ascii="EUAlbertina" w:hAnsi="EUAlbertina"/>
      <w:color w:val="auto"/>
    </w:rPr>
  </w:style>
  <w:style w:type="paragraph" w:customStyle="1" w:styleId="Plattetekst21">
    <w:name w:val="Platte tekst 21"/>
    <w:basedOn w:val="Standaard"/>
    <w:rsid w:val="00E952BF"/>
    <w:rPr>
      <w:lang w:val="nl-NL" w:eastAsia="nl-NL"/>
    </w:rPr>
  </w:style>
  <w:style w:type="character" w:customStyle="1" w:styleId="Kop1Char">
    <w:name w:val="Kop 1 Char"/>
    <w:link w:val="Kop1"/>
    <w:rsid w:val="001508DF"/>
    <w:rPr>
      <w:rFonts w:ascii="Times New Roman" w:hAnsi="Times New Roman"/>
      <w:b/>
      <w:sz w:val="24"/>
      <w:lang w:val="fr-FR" w:eastAsia="nl-NL"/>
    </w:rPr>
  </w:style>
  <w:style w:type="paragraph" w:customStyle="1" w:styleId="titel">
    <w:name w:val="titel"/>
    <w:basedOn w:val="Standaard"/>
    <w:rsid w:val="001508DF"/>
    <w:pPr>
      <w:jc w:val="center"/>
    </w:pPr>
    <w:rPr>
      <w:b/>
      <w:sz w:val="28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4CD9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4CD9"/>
    <w:rPr>
      <w:rFonts w:ascii="Times New Roman" w:hAnsi="Times New Roman"/>
      <w:lang w:val="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4CD9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37221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6057EC"/>
    <w:rPr>
      <w:rFonts w:ascii="Times New Roman" w:hAnsi="Times New Roman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gb\Documents\Model\SJABLOON%20KB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F01A-3303-4214-B431-379C78E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KB</Template>
  <TotalTime>2</TotalTime>
  <Pages>3</Pages>
  <Words>764</Words>
  <Characters>4208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ROYAUME DE BELGIQUE</vt:lpstr>
      <vt:lpstr>ROYAUME DE BELGIQUE</vt:lpstr>
      <vt:lpstr>ROYAUME DE BELGIQUE</vt:lpstr>
    </vt:vector>
  </TitlesOfParts>
  <Company>Federaal Ministerie van Tewerkstelling en Arbeid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DE BELGIQUE</dc:title>
  <dc:creator>Corinne Storez et Anne Drossart</dc:creator>
  <cp:lastModifiedBy>Stijn Sels (FOD Werkgelegenheid - SPF Emploi)</cp:lastModifiedBy>
  <cp:revision>2</cp:revision>
  <cp:lastPrinted>2023-03-17T13:20:00Z</cp:lastPrinted>
  <dcterms:created xsi:type="dcterms:W3CDTF">2023-03-20T10:59:00Z</dcterms:created>
  <dcterms:modified xsi:type="dcterms:W3CDTF">2023-03-20T10:59:00Z</dcterms:modified>
</cp:coreProperties>
</file>